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D1AA9" w14:textId="20F36B68" w:rsidR="002A429E" w:rsidRPr="00B84D93" w:rsidRDefault="002A429E" w:rsidP="00934E21">
      <w:pPr>
        <w:rPr>
          <w:sz w:val="22"/>
          <w:szCs w:val="22"/>
        </w:rPr>
      </w:pPr>
    </w:p>
    <w:p w14:paraId="25695981" w14:textId="3073CF84" w:rsidR="00B1685A" w:rsidRPr="00B1685A" w:rsidRDefault="00104176" w:rsidP="00B1685A">
      <w:pPr>
        <w:spacing w:after="120"/>
        <w:outlineLvl w:val="1"/>
        <w:rPr>
          <w:rFonts w:asciiTheme="minorHAnsi" w:hAnsiTheme="minorHAnsi" w:cstheme="minorHAnsi"/>
          <w:color w:val="3D474B"/>
          <w:sz w:val="22"/>
          <w:szCs w:val="22"/>
        </w:rPr>
      </w:pPr>
      <w:r w:rsidRPr="00104176">
        <w:rPr>
          <w:rFonts w:asciiTheme="minorHAnsi" w:hAnsiTheme="minorHAnsi" w:cstheme="minorHAnsi"/>
          <w:color w:val="F39200"/>
          <w:sz w:val="22"/>
          <w:szCs w:val="22"/>
        </w:rPr>
        <w:t>Ionische Verunreinigungen</w:t>
      </w:r>
      <w:r w:rsidR="00B1685A">
        <w:rPr>
          <w:rFonts w:asciiTheme="minorHAnsi" w:hAnsiTheme="minorHAnsi" w:cstheme="minorHAnsi"/>
          <w:color w:val="F39200"/>
          <w:sz w:val="22"/>
          <w:szCs w:val="22"/>
        </w:rPr>
        <w:t xml:space="preserve"> auf Leiterplatten</w:t>
      </w:r>
      <w:r w:rsidR="008C6418" w:rsidRPr="00B84D93">
        <w:rPr>
          <w:rFonts w:asciiTheme="minorHAnsi" w:hAnsiTheme="minorHAnsi" w:cstheme="minorHAnsi"/>
          <w:color w:val="F39200"/>
          <w:sz w:val="22"/>
          <w:szCs w:val="22"/>
        </w:rPr>
        <w:br/>
      </w:r>
      <w:r w:rsidR="008C6418" w:rsidRPr="00B84D93">
        <w:rPr>
          <w:rFonts w:asciiTheme="minorHAnsi" w:hAnsiTheme="minorHAnsi" w:cstheme="minorHAnsi"/>
          <w:color w:val="F39200"/>
          <w:sz w:val="22"/>
          <w:szCs w:val="22"/>
        </w:rPr>
        <w:br/>
      </w:r>
      <w:r w:rsidR="00B1685A" w:rsidRPr="00B1685A">
        <w:rPr>
          <w:rFonts w:asciiTheme="minorHAnsi" w:hAnsiTheme="minorHAnsi" w:cstheme="minorHAnsi"/>
          <w:color w:val="7C898D"/>
          <w:sz w:val="22"/>
          <w:szCs w:val="22"/>
        </w:rPr>
        <w:t xml:space="preserve">Die </w:t>
      </w:r>
      <w:r w:rsidR="00B1685A">
        <w:rPr>
          <w:rFonts w:asciiTheme="minorHAnsi" w:hAnsiTheme="minorHAnsi" w:cstheme="minorHAnsi"/>
          <w:color w:val="7C898D"/>
          <w:sz w:val="22"/>
          <w:szCs w:val="22"/>
        </w:rPr>
        <w:t xml:space="preserve">Prüfung der </w:t>
      </w:r>
      <w:r w:rsidR="00B1685A" w:rsidRPr="00B1685A">
        <w:rPr>
          <w:rFonts w:asciiTheme="minorHAnsi" w:hAnsiTheme="minorHAnsi" w:cstheme="minorHAnsi"/>
          <w:color w:val="7C898D"/>
          <w:sz w:val="22"/>
          <w:szCs w:val="22"/>
        </w:rPr>
        <w:t>ionische</w:t>
      </w:r>
      <w:r w:rsidR="00B1685A">
        <w:rPr>
          <w:rFonts w:asciiTheme="minorHAnsi" w:hAnsiTheme="minorHAnsi" w:cstheme="minorHAnsi"/>
          <w:color w:val="7C898D"/>
          <w:sz w:val="22"/>
          <w:szCs w:val="22"/>
        </w:rPr>
        <w:t>n</w:t>
      </w:r>
      <w:r w:rsidR="00B1685A" w:rsidRPr="00B1685A">
        <w:rPr>
          <w:rFonts w:asciiTheme="minorHAnsi" w:hAnsiTheme="minorHAnsi" w:cstheme="minorHAnsi"/>
          <w:color w:val="7C898D"/>
          <w:sz w:val="22"/>
          <w:szCs w:val="22"/>
        </w:rPr>
        <w:t xml:space="preserve"> </w:t>
      </w:r>
      <w:r w:rsidR="00B1685A">
        <w:rPr>
          <w:rFonts w:asciiTheme="minorHAnsi" w:hAnsiTheme="minorHAnsi" w:cstheme="minorHAnsi"/>
          <w:color w:val="7C898D"/>
          <w:sz w:val="22"/>
          <w:szCs w:val="22"/>
        </w:rPr>
        <w:t>S</w:t>
      </w:r>
      <w:r w:rsidR="00B1685A" w:rsidRPr="00B1685A">
        <w:rPr>
          <w:rFonts w:asciiTheme="minorHAnsi" w:hAnsiTheme="minorHAnsi" w:cstheme="minorHAnsi"/>
          <w:color w:val="7C898D"/>
          <w:sz w:val="22"/>
          <w:szCs w:val="22"/>
        </w:rPr>
        <w:t xml:space="preserve">auberkeit </w:t>
      </w:r>
      <w:r w:rsidR="00B1685A">
        <w:rPr>
          <w:rFonts w:asciiTheme="minorHAnsi" w:hAnsiTheme="minorHAnsi" w:cstheme="minorHAnsi"/>
          <w:color w:val="7C898D"/>
          <w:sz w:val="22"/>
          <w:szCs w:val="22"/>
        </w:rPr>
        <w:t xml:space="preserve">von Leiterplatten </w:t>
      </w:r>
      <w:r w:rsidR="00B1685A" w:rsidRPr="00B1685A">
        <w:rPr>
          <w:rFonts w:asciiTheme="minorHAnsi" w:hAnsiTheme="minorHAnsi" w:cstheme="minorHAnsi"/>
          <w:color w:val="7C898D"/>
          <w:sz w:val="22"/>
          <w:szCs w:val="22"/>
        </w:rPr>
        <w:t>gemäß IPC TM-650 2.3.25 gewinnt immer mehr an Bedeutung</w:t>
      </w:r>
      <w:r w:rsidR="00B1685A">
        <w:rPr>
          <w:rFonts w:asciiTheme="minorHAnsi" w:hAnsiTheme="minorHAnsi" w:cstheme="minorHAnsi"/>
          <w:color w:val="7C898D"/>
          <w:sz w:val="22"/>
          <w:szCs w:val="22"/>
        </w:rPr>
        <w:t xml:space="preserve"> für die Bewertung der </w:t>
      </w:r>
      <w:proofErr w:type="spellStart"/>
      <w:r w:rsidR="00B1685A">
        <w:rPr>
          <w:rFonts w:asciiTheme="minorHAnsi" w:hAnsiTheme="minorHAnsi" w:cstheme="minorHAnsi"/>
          <w:color w:val="7C898D"/>
          <w:sz w:val="22"/>
          <w:szCs w:val="22"/>
        </w:rPr>
        <w:t>Qualtitätskriterien</w:t>
      </w:r>
      <w:proofErr w:type="spellEnd"/>
      <w:r w:rsidR="00B1685A" w:rsidRPr="00B1685A">
        <w:rPr>
          <w:rFonts w:asciiTheme="minorHAnsi" w:hAnsiTheme="minorHAnsi" w:cstheme="minorHAnsi"/>
          <w:color w:val="7C898D"/>
          <w:sz w:val="22"/>
          <w:szCs w:val="22"/>
        </w:rPr>
        <w:t xml:space="preserve">. </w:t>
      </w:r>
      <w:r w:rsidR="00B1685A" w:rsidRPr="0020355F">
        <w:rPr>
          <w:rFonts w:asciiTheme="minorHAnsi" w:hAnsiTheme="minorHAnsi" w:cstheme="minorHAnsi"/>
          <w:color w:val="7C898D"/>
          <w:sz w:val="22"/>
          <w:szCs w:val="22"/>
        </w:rPr>
        <w:t xml:space="preserve">Zeitgleich führen verbesserte Herstellungsverfahren und neue Normen zu sinkenden Grenzwerten. So wird der historische Grenzwert von 1,56 µg NaCl </w:t>
      </w:r>
      <w:proofErr w:type="spellStart"/>
      <w:proofErr w:type="gramStart"/>
      <w:r w:rsidR="00B1685A" w:rsidRPr="0020355F">
        <w:rPr>
          <w:rFonts w:asciiTheme="minorHAnsi" w:hAnsiTheme="minorHAnsi" w:cstheme="minorHAnsi"/>
          <w:color w:val="7C898D"/>
          <w:sz w:val="22"/>
          <w:szCs w:val="22"/>
        </w:rPr>
        <w:t>äq</w:t>
      </w:r>
      <w:proofErr w:type="spellEnd"/>
      <w:r w:rsidR="00B1685A" w:rsidRPr="0020355F">
        <w:rPr>
          <w:rFonts w:asciiTheme="minorHAnsi" w:hAnsiTheme="minorHAnsi" w:cstheme="minorHAnsi"/>
          <w:color w:val="7C898D"/>
          <w:sz w:val="22"/>
          <w:szCs w:val="22"/>
        </w:rPr>
        <w:t>./</w:t>
      </w:r>
      <w:proofErr w:type="gramEnd"/>
      <w:r w:rsidR="00B1685A" w:rsidRPr="0020355F">
        <w:rPr>
          <w:rFonts w:asciiTheme="minorHAnsi" w:hAnsiTheme="minorHAnsi" w:cstheme="minorHAnsi"/>
          <w:color w:val="7C898D"/>
          <w:sz w:val="22"/>
          <w:szCs w:val="22"/>
        </w:rPr>
        <w:t xml:space="preserve">cm²  in der aktuellen Revision der IPC 6012 E bzw. im Automotive-Addendum IPC-6012DA-WAM1 durch 0,75 NaCl </w:t>
      </w:r>
      <w:proofErr w:type="spellStart"/>
      <w:r w:rsidR="00B1685A" w:rsidRPr="0020355F">
        <w:rPr>
          <w:rFonts w:asciiTheme="minorHAnsi" w:hAnsiTheme="minorHAnsi" w:cstheme="minorHAnsi"/>
          <w:color w:val="7C898D"/>
          <w:sz w:val="22"/>
          <w:szCs w:val="22"/>
        </w:rPr>
        <w:t>äq</w:t>
      </w:r>
      <w:proofErr w:type="spellEnd"/>
      <w:r w:rsidR="00B1685A" w:rsidRPr="0020355F">
        <w:rPr>
          <w:rFonts w:asciiTheme="minorHAnsi" w:hAnsiTheme="minorHAnsi" w:cstheme="minorHAnsi"/>
          <w:color w:val="7C898D"/>
          <w:sz w:val="22"/>
          <w:szCs w:val="22"/>
        </w:rPr>
        <w:t xml:space="preserve">./cm² ersetzt. </w:t>
      </w:r>
    </w:p>
    <w:p w14:paraId="2AF7D625" w14:textId="1D994345" w:rsidR="00B1685A" w:rsidRPr="0020355F" w:rsidRDefault="00B1685A" w:rsidP="00B1685A">
      <w:pPr>
        <w:spacing w:after="120"/>
        <w:outlineLvl w:val="1"/>
        <w:rPr>
          <w:rFonts w:asciiTheme="minorHAnsi" w:hAnsiTheme="minorHAnsi" w:cstheme="minorHAnsi"/>
          <w:color w:val="7C898D"/>
          <w:sz w:val="22"/>
          <w:szCs w:val="22"/>
        </w:rPr>
      </w:pPr>
      <w:r w:rsidRPr="00B1685A">
        <w:rPr>
          <w:rFonts w:asciiTheme="minorHAnsi" w:hAnsiTheme="minorHAnsi" w:cstheme="minorHAnsi"/>
          <w:color w:val="7C898D"/>
          <w:sz w:val="22"/>
          <w:szCs w:val="22"/>
        </w:rPr>
        <w:t>Um diesen Entwicklungen Rechnung zu tragen, erweitert CleanControlling die analytischen Kapazitäten um ein RO</w:t>
      </w:r>
      <w:r>
        <w:rPr>
          <w:rFonts w:asciiTheme="minorHAnsi" w:hAnsiTheme="minorHAnsi" w:cstheme="minorHAnsi"/>
          <w:color w:val="7C898D"/>
          <w:sz w:val="22"/>
          <w:szCs w:val="22"/>
        </w:rPr>
        <w:t>SE-</w:t>
      </w:r>
      <w:proofErr w:type="spellStart"/>
      <w:r w:rsidRPr="00B1685A">
        <w:rPr>
          <w:rFonts w:asciiTheme="minorHAnsi" w:hAnsiTheme="minorHAnsi" w:cstheme="minorHAnsi"/>
          <w:color w:val="7C898D"/>
          <w:sz w:val="22"/>
          <w:szCs w:val="22"/>
        </w:rPr>
        <w:t>Kontaminometer</w:t>
      </w:r>
      <w:proofErr w:type="spellEnd"/>
      <w:r w:rsidRPr="00B1685A">
        <w:rPr>
          <w:rFonts w:asciiTheme="minorHAnsi" w:hAnsiTheme="minorHAnsi" w:cstheme="minorHAnsi"/>
          <w:color w:val="7C898D"/>
          <w:sz w:val="22"/>
          <w:szCs w:val="22"/>
        </w:rPr>
        <w:t xml:space="preserve"> der neusten Generation. </w:t>
      </w:r>
      <w:r w:rsidRPr="0020355F">
        <w:rPr>
          <w:rFonts w:asciiTheme="minorHAnsi" w:hAnsiTheme="minorHAnsi" w:cstheme="minorHAnsi"/>
          <w:color w:val="7C898D"/>
          <w:sz w:val="22"/>
          <w:szCs w:val="22"/>
        </w:rPr>
        <w:t>Mit der Inbetriebnahme des neuen MI-</w:t>
      </w:r>
      <w:proofErr w:type="spellStart"/>
      <w:r w:rsidRPr="0020355F">
        <w:rPr>
          <w:rFonts w:asciiTheme="minorHAnsi" w:hAnsiTheme="minorHAnsi" w:cstheme="minorHAnsi"/>
          <w:color w:val="7C898D"/>
          <w:sz w:val="22"/>
          <w:szCs w:val="22"/>
        </w:rPr>
        <w:t>ConTTest</w:t>
      </w:r>
      <w:proofErr w:type="spellEnd"/>
      <w:r w:rsidRPr="0020355F">
        <w:rPr>
          <w:rFonts w:asciiTheme="minorHAnsi" w:hAnsiTheme="minorHAnsi" w:cstheme="minorHAnsi"/>
          <w:color w:val="7C898D"/>
          <w:sz w:val="22"/>
          <w:szCs w:val="22"/>
        </w:rPr>
        <w:t xml:space="preserve"> 250 können auch geringste Rückstände sicher nachgewiesen und bewertet werden.</w:t>
      </w:r>
    </w:p>
    <w:p w14:paraId="199CDFA3" w14:textId="7C2A1755" w:rsidR="00104176" w:rsidRPr="00B1685A" w:rsidRDefault="00104176" w:rsidP="00F949EA">
      <w:pPr>
        <w:spacing w:after="120"/>
        <w:outlineLvl w:val="1"/>
        <w:rPr>
          <w:rFonts w:asciiTheme="minorHAnsi" w:hAnsiTheme="minorHAnsi" w:cstheme="minorHAnsi"/>
          <w:b/>
          <w:bCs/>
          <w:color w:val="7C898D"/>
          <w:sz w:val="22"/>
          <w:szCs w:val="22"/>
          <w:lang w:val="en-GB"/>
        </w:rPr>
      </w:pPr>
      <w:r w:rsidRPr="00B1685A">
        <w:rPr>
          <w:rFonts w:asciiTheme="minorHAnsi" w:hAnsiTheme="minorHAnsi" w:cstheme="minorHAnsi"/>
          <w:b/>
          <w:bCs/>
          <w:color w:val="7C898D"/>
          <w:sz w:val="22"/>
          <w:szCs w:val="22"/>
          <w:lang w:val="en-GB"/>
        </w:rPr>
        <w:t xml:space="preserve">Resistivity Of Solvent Extract (ROSE) </w:t>
      </w:r>
    </w:p>
    <w:p w14:paraId="323C2BA2" w14:textId="3EBF78AD" w:rsidR="00104176" w:rsidRPr="0020355F" w:rsidRDefault="00104176" w:rsidP="00B1685A">
      <w:pPr>
        <w:spacing w:after="120"/>
        <w:outlineLvl w:val="1"/>
        <w:rPr>
          <w:rFonts w:asciiTheme="minorHAnsi" w:hAnsiTheme="minorHAnsi" w:cstheme="minorHAnsi"/>
          <w:color w:val="7C898D"/>
          <w:sz w:val="22"/>
          <w:szCs w:val="22"/>
        </w:rPr>
      </w:pPr>
      <w:r w:rsidRPr="0020355F">
        <w:rPr>
          <w:rFonts w:asciiTheme="minorHAnsi" w:hAnsiTheme="minorHAnsi" w:cstheme="minorHAnsi"/>
          <w:color w:val="7C898D"/>
          <w:sz w:val="22"/>
          <w:szCs w:val="22"/>
        </w:rPr>
        <w:t>Die </w:t>
      </w:r>
      <w:r w:rsidRPr="0020355F">
        <w:rPr>
          <w:rFonts w:asciiTheme="minorHAnsi" w:hAnsiTheme="minorHAnsi" w:cstheme="minorHAnsi"/>
          <w:b/>
          <w:bCs/>
          <w:color w:val="7C898D"/>
          <w:sz w:val="22"/>
          <w:szCs w:val="22"/>
        </w:rPr>
        <w:t>ROSE</w:t>
      </w:r>
      <w:r w:rsidRPr="0020355F">
        <w:rPr>
          <w:rFonts w:asciiTheme="minorHAnsi" w:hAnsiTheme="minorHAnsi" w:cstheme="minorHAnsi"/>
          <w:color w:val="7C898D"/>
          <w:sz w:val="22"/>
          <w:szCs w:val="22"/>
        </w:rPr>
        <w:t xml:space="preserve"> Messung stellt eine schnelle und kostengünstige Methode zur Bestimmung der Leitfähigkeit von </w:t>
      </w:r>
      <w:r w:rsidR="008C6418" w:rsidRPr="0020355F">
        <w:rPr>
          <w:rFonts w:asciiTheme="minorHAnsi" w:hAnsiTheme="minorHAnsi" w:cstheme="minorHAnsi"/>
          <w:color w:val="7C898D"/>
          <w:sz w:val="22"/>
          <w:szCs w:val="22"/>
        </w:rPr>
        <w:t xml:space="preserve">ionischen </w:t>
      </w:r>
      <w:r w:rsidRPr="0020355F">
        <w:rPr>
          <w:rFonts w:asciiTheme="minorHAnsi" w:hAnsiTheme="minorHAnsi" w:cstheme="minorHAnsi"/>
          <w:color w:val="7C898D"/>
          <w:sz w:val="22"/>
          <w:szCs w:val="22"/>
        </w:rPr>
        <w:t>Rückstände</w:t>
      </w:r>
      <w:r w:rsidR="008C6418" w:rsidRPr="0020355F">
        <w:rPr>
          <w:rFonts w:asciiTheme="minorHAnsi" w:hAnsiTheme="minorHAnsi" w:cstheme="minorHAnsi"/>
          <w:color w:val="7C898D"/>
          <w:sz w:val="22"/>
          <w:szCs w:val="22"/>
        </w:rPr>
        <w:t>n</w:t>
      </w:r>
      <w:r w:rsidRPr="0020355F">
        <w:rPr>
          <w:rFonts w:asciiTheme="minorHAnsi" w:hAnsiTheme="minorHAnsi" w:cstheme="minorHAnsi"/>
          <w:color w:val="7C898D"/>
          <w:sz w:val="22"/>
          <w:szCs w:val="22"/>
        </w:rPr>
        <w:t xml:space="preserve"> auf elektronischen Bauteilen dar. </w:t>
      </w:r>
      <w:r w:rsidR="002F1556" w:rsidRPr="0020355F">
        <w:rPr>
          <w:rFonts w:asciiTheme="minorHAnsi" w:hAnsiTheme="minorHAnsi" w:cstheme="minorHAnsi"/>
          <w:color w:val="7C898D"/>
          <w:sz w:val="22"/>
          <w:szCs w:val="22"/>
        </w:rPr>
        <w:t>D</w:t>
      </w:r>
      <w:r w:rsidRPr="0020355F">
        <w:rPr>
          <w:rFonts w:asciiTheme="minorHAnsi" w:hAnsiTheme="minorHAnsi" w:cstheme="minorHAnsi"/>
          <w:color w:val="7C898D"/>
          <w:sz w:val="22"/>
          <w:szCs w:val="22"/>
        </w:rPr>
        <w:t xml:space="preserve">ie ionischen Rückstände </w:t>
      </w:r>
      <w:r w:rsidR="002F1556" w:rsidRPr="0020355F">
        <w:rPr>
          <w:rFonts w:asciiTheme="minorHAnsi" w:hAnsiTheme="minorHAnsi" w:cstheme="minorHAnsi"/>
          <w:color w:val="7C898D"/>
          <w:sz w:val="22"/>
          <w:szCs w:val="22"/>
        </w:rPr>
        <w:t xml:space="preserve">werden </w:t>
      </w:r>
      <w:r w:rsidRPr="0020355F">
        <w:rPr>
          <w:rFonts w:asciiTheme="minorHAnsi" w:hAnsiTheme="minorHAnsi" w:cstheme="minorHAnsi"/>
          <w:color w:val="7C898D"/>
          <w:sz w:val="22"/>
          <w:szCs w:val="22"/>
        </w:rPr>
        <w:t>extrahiert</w:t>
      </w:r>
      <w:r w:rsidR="002F1556" w:rsidRPr="0020355F">
        <w:rPr>
          <w:rFonts w:asciiTheme="minorHAnsi" w:hAnsiTheme="minorHAnsi" w:cstheme="minorHAnsi"/>
          <w:color w:val="7C898D"/>
          <w:sz w:val="22"/>
          <w:szCs w:val="22"/>
        </w:rPr>
        <w:t>, a</w:t>
      </w:r>
      <w:r w:rsidR="008C6418" w:rsidRPr="0020355F">
        <w:rPr>
          <w:rFonts w:asciiTheme="minorHAnsi" w:hAnsiTheme="minorHAnsi" w:cstheme="minorHAnsi"/>
          <w:color w:val="7C898D"/>
          <w:sz w:val="22"/>
          <w:szCs w:val="22"/>
        </w:rPr>
        <w:t>nschließend</w:t>
      </w:r>
      <w:r w:rsidRPr="0020355F">
        <w:rPr>
          <w:rFonts w:asciiTheme="minorHAnsi" w:hAnsiTheme="minorHAnsi" w:cstheme="minorHAnsi"/>
          <w:color w:val="7C898D"/>
          <w:sz w:val="22"/>
          <w:szCs w:val="22"/>
        </w:rPr>
        <w:t xml:space="preserve"> der spezifische Widerstand der Lösung bestimmt</w:t>
      </w:r>
      <w:r w:rsidR="008C6418" w:rsidRPr="0020355F">
        <w:rPr>
          <w:rFonts w:asciiTheme="minorHAnsi" w:hAnsiTheme="minorHAnsi" w:cstheme="minorHAnsi"/>
          <w:color w:val="7C898D"/>
          <w:sz w:val="22"/>
          <w:szCs w:val="22"/>
        </w:rPr>
        <w:t xml:space="preserve"> und danach </w:t>
      </w:r>
      <w:r w:rsidRPr="0020355F">
        <w:rPr>
          <w:rFonts w:asciiTheme="minorHAnsi" w:hAnsiTheme="minorHAnsi" w:cstheme="minorHAnsi"/>
          <w:color w:val="7C898D"/>
          <w:sz w:val="22"/>
          <w:szCs w:val="22"/>
        </w:rPr>
        <w:t xml:space="preserve">die Ergebnisse gegen Natriumchlorid kalibriert und in µg NaCl-Äquivalente pro cm² umgerechnet. </w:t>
      </w:r>
    </w:p>
    <w:p w14:paraId="374189CD" w14:textId="77777777" w:rsidR="00B1685A" w:rsidRDefault="00B1685A" w:rsidP="00934E21">
      <w:pPr>
        <w:rPr>
          <w:rFonts w:asciiTheme="minorHAnsi" w:hAnsiTheme="minorHAnsi" w:cstheme="minorHAnsi"/>
          <w:noProof/>
          <w:sz w:val="22"/>
          <w:szCs w:val="22"/>
        </w:rPr>
      </w:pPr>
    </w:p>
    <w:p w14:paraId="6EB67846" w14:textId="69A232A6" w:rsidR="00B1685A" w:rsidRDefault="00B1685A" w:rsidP="00934E21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D3796" wp14:editId="2BA109B4">
            <wp:extent cx="3105150" cy="1903922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212" cy="19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C2BB4" w14:textId="5BFDFD54" w:rsidR="00104176" w:rsidRPr="00B84D93" w:rsidRDefault="00F949EA" w:rsidP="00934E21">
      <w:pPr>
        <w:rPr>
          <w:rFonts w:asciiTheme="minorHAnsi" w:hAnsiTheme="minorHAnsi" w:cstheme="minorHAnsi"/>
          <w:color w:val="3D474B"/>
          <w:sz w:val="22"/>
          <w:szCs w:val="22"/>
        </w:rPr>
      </w:pPr>
      <w:r w:rsidRPr="00B84D93">
        <w:rPr>
          <w:rFonts w:asciiTheme="minorHAnsi" w:hAnsiTheme="minorHAnsi" w:cstheme="minorHAnsi"/>
          <w:color w:val="3D474B"/>
          <w:sz w:val="22"/>
          <w:szCs w:val="22"/>
        </w:rPr>
        <w:t>Quelle: CleanControlling GmbH</w:t>
      </w:r>
    </w:p>
    <w:p w14:paraId="51AFACC3" w14:textId="5B838D97" w:rsidR="00B84D93" w:rsidRPr="00B84D93" w:rsidRDefault="00B84D93" w:rsidP="00934E21">
      <w:pPr>
        <w:rPr>
          <w:rFonts w:asciiTheme="minorHAnsi" w:hAnsiTheme="minorHAnsi" w:cstheme="minorHAnsi"/>
          <w:color w:val="3D474B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3882"/>
      </w:tblGrid>
      <w:tr w:rsidR="00B84D93" w:rsidRPr="00B84D93" w14:paraId="74F3B73B" w14:textId="77777777" w:rsidTr="00D5455D">
        <w:tc>
          <w:tcPr>
            <w:tcW w:w="5180" w:type="dxa"/>
          </w:tcPr>
          <w:p w14:paraId="01E82B33" w14:textId="10F30B1D" w:rsidR="00B84D93" w:rsidRPr="00B84D93" w:rsidRDefault="00B84D93" w:rsidP="00D545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4D9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Kontakt: </w:t>
            </w:r>
          </w:p>
        </w:tc>
        <w:tc>
          <w:tcPr>
            <w:tcW w:w="3882" w:type="dxa"/>
          </w:tcPr>
          <w:p w14:paraId="42CE071D" w14:textId="77777777" w:rsidR="00B84D93" w:rsidRPr="00B84D93" w:rsidRDefault="00B84D93" w:rsidP="00D545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D93" w:rsidRPr="00B84D93" w14:paraId="51051A27" w14:textId="77777777" w:rsidTr="00D5455D">
        <w:tc>
          <w:tcPr>
            <w:tcW w:w="5180" w:type="dxa"/>
          </w:tcPr>
          <w:p w14:paraId="44C93F28" w14:textId="535C1815" w:rsidR="00B84D93" w:rsidRPr="00B84D93" w:rsidRDefault="00B84D93" w:rsidP="00D545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4D93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0F14B5D3" wp14:editId="28900B1D">
                  <wp:extent cx="2087880" cy="555302"/>
                  <wp:effectExtent l="0" t="0" r="762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CC-Med-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555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2" w:type="dxa"/>
            <w:vMerge w:val="restart"/>
          </w:tcPr>
          <w:p w14:paraId="7788AA95" w14:textId="41530004" w:rsidR="00B84D93" w:rsidRPr="00B84D93" w:rsidRDefault="00B84D93" w:rsidP="00D545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D93" w:rsidRPr="00B84D93" w14:paraId="4D88E162" w14:textId="77777777" w:rsidTr="00D5455D">
        <w:tc>
          <w:tcPr>
            <w:tcW w:w="5180" w:type="dxa"/>
          </w:tcPr>
          <w:p w14:paraId="4BC9261B" w14:textId="77777777" w:rsidR="00B84D93" w:rsidRPr="00B84D93" w:rsidRDefault="00B84D93" w:rsidP="00D545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4D93">
              <w:rPr>
                <w:rFonts w:asciiTheme="minorHAnsi" w:hAnsiTheme="minorHAnsi" w:cstheme="minorHAnsi"/>
                <w:sz w:val="22"/>
                <w:szCs w:val="22"/>
              </w:rPr>
              <w:t>CleanControlling GmbH</w:t>
            </w:r>
          </w:p>
        </w:tc>
        <w:tc>
          <w:tcPr>
            <w:tcW w:w="3882" w:type="dxa"/>
            <w:vMerge/>
          </w:tcPr>
          <w:p w14:paraId="7EC7AEC6" w14:textId="77777777" w:rsidR="00B84D93" w:rsidRPr="00B84D93" w:rsidRDefault="00B84D93" w:rsidP="00D545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D93" w:rsidRPr="00B84D93" w14:paraId="11D57E21" w14:textId="77777777" w:rsidTr="00D5455D">
        <w:tc>
          <w:tcPr>
            <w:tcW w:w="5180" w:type="dxa"/>
          </w:tcPr>
          <w:p w14:paraId="173B4565" w14:textId="77777777" w:rsidR="00B84D93" w:rsidRPr="00B84D93" w:rsidRDefault="00B84D93" w:rsidP="00D545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84D93">
              <w:rPr>
                <w:rFonts w:asciiTheme="minorHAnsi" w:hAnsiTheme="minorHAnsi" w:cstheme="minorHAnsi"/>
                <w:sz w:val="22"/>
                <w:szCs w:val="22"/>
              </w:rPr>
              <w:t>Gehrenstr</w:t>
            </w:r>
            <w:proofErr w:type="spellEnd"/>
            <w:r w:rsidRPr="00B84D93">
              <w:rPr>
                <w:rFonts w:asciiTheme="minorHAnsi" w:hAnsiTheme="minorHAnsi" w:cstheme="minorHAnsi"/>
                <w:sz w:val="22"/>
                <w:szCs w:val="22"/>
              </w:rPr>
              <w:t>. 11a</w:t>
            </w:r>
          </w:p>
        </w:tc>
        <w:tc>
          <w:tcPr>
            <w:tcW w:w="3882" w:type="dxa"/>
            <w:vMerge/>
          </w:tcPr>
          <w:p w14:paraId="57E1F088" w14:textId="77777777" w:rsidR="00B84D93" w:rsidRPr="00B84D93" w:rsidRDefault="00B84D93" w:rsidP="00D545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D93" w:rsidRPr="00B84D93" w14:paraId="032D7EEF" w14:textId="77777777" w:rsidTr="00D5455D">
        <w:tc>
          <w:tcPr>
            <w:tcW w:w="5180" w:type="dxa"/>
          </w:tcPr>
          <w:p w14:paraId="465480F8" w14:textId="77777777" w:rsidR="00B84D93" w:rsidRPr="00B84D93" w:rsidRDefault="00B84D93" w:rsidP="00D545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4D93">
              <w:rPr>
                <w:rFonts w:asciiTheme="minorHAnsi" w:hAnsiTheme="minorHAnsi" w:cstheme="minorHAnsi"/>
                <w:sz w:val="22"/>
                <w:szCs w:val="22"/>
              </w:rPr>
              <w:t xml:space="preserve">78576 </w:t>
            </w:r>
            <w:proofErr w:type="spellStart"/>
            <w:r w:rsidRPr="00B84D93">
              <w:rPr>
                <w:rFonts w:asciiTheme="minorHAnsi" w:hAnsiTheme="minorHAnsi" w:cstheme="minorHAnsi"/>
                <w:sz w:val="22"/>
                <w:szCs w:val="22"/>
              </w:rPr>
              <w:t>Emmingen-Liptingen</w:t>
            </w:r>
            <w:proofErr w:type="spellEnd"/>
          </w:p>
        </w:tc>
        <w:tc>
          <w:tcPr>
            <w:tcW w:w="3882" w:type="dxa"/>
            <w:vMerge/>
          </w:tcPr>
          <w:p w14:paraId="32E480C9" w14:textId="77777777" w:rsidR="00B84D93" w:rsidRPr="00B84D93" w:rsidRDefault="00B84D93" w:rsidP="00D545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D93" w:rsidRPr="00B84D93" w14:paraId="64F5EF50" w14:textId="77777777" w:rsidTr="00D5455D">
        <w:tc>
          <w:tcPr>
            <w:tcW w:w="5180" w:type="dxa"/>
          </w:tcPr>
          <w:p w14:paraId="036B371F" w14:textId="77777777" w:rsidR="00B84D93" w:rsidRPr="00B84D93" w:rsidRDefault="00B84D93" w:rsidP="00D545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2" w:type="dxa"/>
            <w:vMerge/>
          </w:tcPr>
          <w:p w14:paraId="432E5EC1" w14:textId="77777777" w:rsidR="00B84D93" w:rsidRPr="00B84D93" w:rsidRDefault="00B84D93" w:rsidP="00D545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D93" w:rsidRPr="00B84D93" w14:paraId="74139EC1" w14:textId="77777777" w:rsidTr="00D5455D">
        <w:tc>
          <w:tcPr>
            <w:tcW w:w="5180" w:type="dxa"/>
          </w:tcPr>
          <w:p w14:paraId="49EABF7B" w14:textId="77777777" w:rsidR="00B84D93" w:rsidRPr="00B84D93" w:rsidRDefault="00B84D93" w:rsidP="00D545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4D93">
              <w:rPr>
                <w:rFonts w:asciiTheme="minorHAnsi" w:hAnsiTheme="minorHAnsi" w:cstheme="minorHAnsi"/>
                <w:sz w:val="22"/>
                <w:szCs w:val="22"/>
              </w:rPr>
              <w:t>Dr. Steffen Oßwald</w:t>
            </w:r>
          </w:p>
        </w:tc>
        <w:tc>
          <w:tcPr>
            <w:tcW w:w="3882" w:type="dxa"/>
            <w:vMerge/>
          </w:tcPr>
          <w:p w14:paraId="4DC0AF58" w14:textId="77777777" w:rsidR="00B84D93" w:rsidRPr="00B84D93" w:rsidRDefault="00B84D93" w:rsidP="00D545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D93" w:rsidRPr="00B84D93" w14:paraId="356E28EA" w14:textId="77777777" w:rsidTr="00D5455D">
        <w:tc>
          <w:tcPr>
            <w:tcW w:w="5180" w:type="dxa"/>
          </w:tcPr>
          <w:p w14:paraId="2FBE3F83" w14:textId="77777777" w:rsidR="00B84D93" w:rsidRPr="00B84D93" w:rsidRDefault="00B84D93" w:rsidP="00D545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4D93">
              <w:rPr>
                <w:rFonts w:asciiTheme="minorHAnsi" w:hAnsiTheme="minorHAnsi" w:cstheme="minorHAnsi"/>
                <w:sz w:val="22"/>
                <w:szCs w:val="22"/>
              </w:rPr>
              <w:t>Tel.: +49 7465 929678 – 0</w:t>
            </w:r>
          </w:p>
        </w:tc>
        <w:tc>
          <w:tcPr>
            <w:tcW w:w="3882" w:type="dxa"/>
            <w:vMerge/>
          </w:tcPr>
          <w:p w14:paraId="30973F8F" w14:textId="77777777" w:rsidR="00B84D93" w:rsidRPr="00B84D93" w:rsidRDefault="00B84D93" w:rsidP="00D545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D93" w:rsidRPr="00B84D93" w14:paraId="5CCC0C7A" w14:textId="77777777" w:rsidTr="00D5455D">
        <w:tc>
          <w:tcPr>
            <w:tcW w:w="5180" w:type="dxa"/>
          </w:tcPr>
          <w:p w14:paraId="5E247C49" w14:textId="77777777" w:rsidR="00B84D93" w:rsidRPr="00B84D93" w:rsidRDefault="00B84D93" w:rsidP="00D545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4D93">
              <w:rPr>
                <w:rFonts w:asciiTheme="minorHAnsi" w:hAnsiTheme="minorHAnsi" w:cstheme="minorHAnsi"/>
                <w:sz w:val="22"/>
                <w:szCs w:val="22"/>
              </w:rPr>
              <w:t>sales@cleancontrolling.de</w:t>
            </w:r>
          </w:p>
        </w:tc>
        <w:tc>
          <w:tcPr>
            <w:tcW w:w="3882" w:type="dxa"/>
            <w:vMerge/>
          </w:tcPr>
          <w:p w14:paraId="38C0F036" w14:textId="77777777" w:rsidR="00B84D93" w:rsidRPr="00B84D93" w:rsidRDefault="00B84D93" w:rsidP="00D545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D93" w:rsidRPr="00B84D93" w14:paraId="1444921D" w14:textId="77777777" w:rsidTr="00D5455D">
        <w:tc>
          <w:tcPr>
            <w:tcW w:w="5180" w:type="dxa"/>
          </w:tcPr>
          <w:p w14:paraId="1B077B64" w14:textId="77777777" w:rsidR="00B84D93" w:rsidRPr="00B84D93" w:rsidRDefault="009F21C3" w:rsidP="00D545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B84D93" w:rsidRPr="00B84D9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www.cleancontrolling.de</w:t>
              </w:r>
            </w:hyperlink>
          </w:p>
        </w:tc>
        <w:tc>
          <w:tcPr>
            <w:tcW w:w="3882" w:type="dxa"/>
            <w:vMerge/>
          </w:tcPr>
          <w:p w14:paraId="0915615B" w14:textId="77777777" w:rsidR="00B84D93" w:rsidRPr="00B84D93" w:rsidRDefault="00B84D93" w:rsidP="00D545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D93" w:rsidRPr="00B84D93" w14:paraId="1608316D" w14:textId="77777777" w:rsidTr="00D5455D">
        <w:tc>
          <w:tcPr>
            <w:tcW w:w="5180" w:type="dxa"/>
          </w:tcPr>
          <w:p w14:paraId="25A622E7" w14:textId="77777777" w:rsidR="00B84D93" w:rsidRPr="00B84D93" w:rsidRDefault="00B84D93" w:rsidP="00D545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2" w:type="dxa"/>
          </w:tcPr>
          <w:p w14:paraId="7195AC84" w14:textId="77777777" w:rsidR="00B84D93" w:rsidRPr="00B84D93" w:rsidRDefault="00B84D93" w:rsidP="00D545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D93" w:rsidRPr="0020355F" w14:paraId="2DBB0F7D" w14:textId="77777777" w:rsidTr="00D5455D">
        <w:tc>
          <w:tcPr>
            <w:tcW w:w="9062" w:type="dxa"/>
            <w:gridSpan w:val="2"/>
          </w:tcPr>
          <w:p w14:paraId="535CE49C" w14:textId="1078AB2D" w:rsidR="00B84D93" w:rsidRPr="00224C0F" w:rsidRDefault="00B84D93" w:rsidP="00D5455D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224C0F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Link: </w:t>
            </w:r>
            <w:hyperlink r:id="rId10" w:history="1">
              <w:r w:rsidR="00B1685A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en-GB"/>
                </w:rPr>
                <w:t>https://www.cleancontrolling.com/technical/leistungen-veranstaltungen/chemisch-filmische-verunreinigungen/bestimmung-der-leitfaehigkeit-von-rueckstaenden-rose</w:t>
              </w:r>
            </w:hyperlink>
          </w:p>
        </w:tc>
      </w:tr>
    </w:tbl>
    <w:p w14:paraId="6FF19F00" w14:textId="77777777" w:rsidR="00B84D93" w:rsidRPr="00224C0F" w:rsidRDefault="00B84D93" w:rsidP="00934E21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B84D93" w:rsidRPr="00224C0F" w:rsidSect="007D4D65">
      <w:headerReference w:type="default" r:id="rId11"/>
      <w:footerReference w:type="default" r:id="rId12"/>
      <w:pgSz w:w="11907" w:h="16840" w:code="9"/>
      <w:pgMar w:top="774" w:right="96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45CB3" w14:textId="77777777" w:rsidR="009F21C3" w:rsidRDefault="009F21C3">
      <w:r>
        <w:separator/>
      </w:r>
    </w:p>
  </w:endnote>
  <w:endnote w:type="continuationSeparator" w:id="0">
    <w:p w14:paraId="7B60D581" w14:textId="77777777" w:rsidR="009F21C3" w:rsidRDefault="009F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6" w:space="0" w:color="BFBFB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3827"/>
      <w:gridCol w:w="2790"/>
    </w:tblGrid>
    <w:tr w:rsidR="00671D96" w:rsidRPr="00E034E1" w14:paraId="1BABE0A4" w14:textId="77777777" w:rsidTr="00616AC8">
      <w:tc>
        <w:tcPr>
          <w:tcW w:w="3331" w:type="dxa"/>
        </w:tcPr>
        <w:p w14:paraId="7A24BEA6" w14:textId="77777777" w:rsidR="00C55554" w:rsidRPr="00616AC8" w:rsidRDefault="00C55554">
          <w:pPr>
            <w:pStyle w:val="Fuzeile"/>
            <w:rPr>
              <w:rFonts w:ascii="Calibri" w:hAnsi="Calibri"/>
              <w:color w:val="BFBFBF"/>
              <w:sz w:val="16"/>
            </w:rPr>
          </w:pPr>
        </w:p>
      </w:tc>
      <w:tc>
        <w:tcPr>
          <w:tcW w:w="3827" w:type="dxa"/>
        </w:tcPr>
        <w:p w14:paraId="6EB2DC64" w14:textId="77777777" w:rsidR="00C55554" w:rsidRPr="005717BD" w:rsidRDefault="00B72348">
          <w:pPr>
            <w:pStyle w:val="Fuzeile"/>
            <w:jc w:val="center"/>
            <w:rPr>
              <w:rFonts w:ascii="Calibri" w:hAnsi="Calibri"/>
              <w:color w:val="3D4746"/>
              <w:sz w:val="16"/>
            </w:rPr>
          </w:pPr>
          <w:r w:rsidRPr="005717BD">
            <w:rPr>
              <w:rStyle w:val="Seitenzahl"/>
              <w:rFonts w:ascii="Calibri" w:hAnsi="Calibri"/>
              <w:color w:val="3D4746"/>
              <w:sz w:val="16"/>
            </w:rPr>
            <w:fldChar w:fldCharType="begin"/>
          </w:r>
          <w:r w:rsidR="00C55554" w:rsidRPr="005717BD">
            <w:rPr>
              <w:rStyle w:val="Seitenzahl"/>
              <w:rFonts w:ascii="Calibri" w:hAnsi="Calibri"/>
              <w:color w:val="3D4746"/>
              <w:sz w:val="16"/>
            </w:rPr>
            <w:instrText xml:space="preserve"> PAGE </w:instrText>
          </w:r>
          <w:r w:rsidRPr="005717BD">
            <w:rPr>
              <w:rStyle w:val="Seitenzahl"/>
              <w:rFonts w:ascii="Calibri" w:hAnsi="Calibri"/>
              <w:color w:val="3D4746"/>
              <w:sz w:val="16"/>
            </w:rPr>
            <w:fldChar w:fldCharType="separate"/>
          </w:r>
          <w:r w:rsidR="00594994" w:rsidRPr="005717BD">
            <w:rPr>
              <w:rStyle w:val="Seitenzahl"/>
              <w:rFonts w:ascii="Calibri" w:hAnsi="Calibri"/>
              <w:noProof/>
              <w:color w:val="3D4746"/>
              <w:sz w:val="16"/>
            </w:rPr>
            <w:t>1</w:t>
          </w:r>
          <w:r w:rsidRPr="005717BD">
            <w:rPr>
              <w:rStyle w:val="Seitenzahl"/>
              <w:rFonts w:ascii="Calibri" w:hAnsi="Calibri"/>
              <w:color w:val="3D4746"/>
              <w:sz w:val="16"/>
            </w:rPr>
            <w:fldChar w:fldCharType="end"/>
          </w:r>
          <w:r w:rsidR="00C55554" w:rsidRPr="005717BD">
            <w:rPr>
              <w:rStyle w:val="Seitenzahl"/>
              <w:rFonts w:ascii="Calibri" w:hAnsi="Calibri"/>
              <w:color w:val="3D4746"/>
              <w:sz w:val="16"/>
            </w:rPr>
            <w:t>/</w:t>
          </w:r>
          <w:r w:rsidRPr="005717BD">
            <w:rPr>
              <w:rStyle w:val="Seitenzahl"/>
              <w:rFonts w:ascii="Calibri" w:hAnsi="Calibri"/>
              <w:color w:val="3D4746"/>
              <w:sz w:val="16"/>
            </w:rPr>
            <w:fldChar w:fldCharType="begin"/>
          </w:r>
          <w:r w:rsidR="00C55554" w:rsidRPr="005717BD">
            <w:rPr>
              <w:rStyle w:val="Seitenzahl"/>
              <w:rFonts w:ascii="Calibri" w:hAnsi="Calibri"/>
              <w:color w:val="3D4746"/>
              <w:sz w:val="16"/>
            </w:rPr>
            <w:instrText xml:space="preserve"> NUMPAGES </w:instrText>
          </w:r>
          <w:r w:rsidRPr="005717BD">
            <w:rPr>
              <w:rStyle w:val="Seitenzahl"/>
              <w:rFonts w:ascii="Calibri" w:hAnsi="Calibri"/>
              <w:color w:val="3D4746"/>
              <w:sz w:val="16"/>
            </w:rPr>
            <w:fldChar w:fldCharType="separate"/>
          </w:r>
          <w:r w:rsidR="00594994" w:rsidRPr="005717BD">
            <w:rPr>
              <w:rStyle w:val="Seitenzahl"/>
              <w:rFonts w:ascii="Calibri" w:hAnsi="Calibri"/>
              <w:noProof/>
              <w:color w:val="3D4746"/>
              <w:sz w:val="16"/>
            </w:rPr>
            <w:t>1</w:t>
          </w:r>
          <w:r w:rsidRPr="005717BD">
            <w:rPr>
              <w:rStyle w:val="Seitenzahl"/>
              <w:rFonts w:ascii="Calibri" w:hAnsi="Calibri"/>
              <w:color w:val="3D4746"/>
              <w:sz w:val="16"/>
            </w:rPr>
            <w:fldChar w:fldCharType="end"/>
          </w:r>
        </w:p>
      </w:tc>
      <w:tc>
        <w:tcPr>
          <w:tcW w:w="2790" w:type="dxa"/>
        </w:tcPr>
        <w:p w14:paraId="5EBDCC5B" w14:textId="77777777" w:rsidR="007D4D65" w:rsidRPr="00E034E1" w:rsidRDefault="007D4D65" w:rsidP="007D4D65">
          <w:pPr>
            <w:pStyle w:val="Kopfzeile"/>
            <w:jc w:val="right"/>
            <w:rPr>
              <w:rFonts w:ascii="Verdana" w:hAnsi="Verdana"/>
              <w:color w:val="808080" w:themeColor="background1" w:themeShade="80"/>
              <w:sz w:val="18"/>
              <w:szCs w:val="18"/>
            </w:rPr>
          </w:pPr>
        </w:p>
        <w:p w14:paraId="3255ABC8" w14:textId="77777777" w:rsidR="00C55554" w:rsidRPr="00E034E1" w:rsidRDefault="00C55554">
          <w:pPr>
            <w:pStyle w:val="Fuzeile"/>
            <w:jc w:val="right"/>
            <w:rPr>
              <w:rFonts w:ascii="Verdana" w:hAnsi="Verdana"/>
              <w:color w:val="808080" w:themeColor="background1" w:themeShade="80"/>
              <w:sz w:val="18"/>
              <w:szCs w:val="18"/>
            </w:rPr>
          </w:pPr>
        </w:p>
      </w:tc>
    </w:tr>
    <w:tr w:rsidR="00C55554" w:rsidRPr="00616AC8" w14:paraId="3DFDDB31" w14:textId="77777777" w:rsidTr="00616AC8">
      <w:trPr>
        <w:cantSplit/>
      </w:trPr>
      <w:tc>
        <w:tcPr>
          <w:tcW w:w="9948" w:type="dxa"/>
          <w:gridSpan w:val="3"/>
        </w:tcPr>
        <w:p w14:paraId="2BD5A3E9" w14:textId="77777777" w:rsidR="00C55554" w:rsidRPr="00616AC8" w:rsidRDefault="00C55554">
          <w:pPr>
            <w:pStyle w:val="Fuzeile"/>
            <w:rPr>
              <w:rFonts w:ascii="Calibri" w:hAnsi="Calibri"/>
              <w:color w:val="BFBFBF"/>
            </w:rPr>
          </w:pPr>
        </w:p>
      </w:tc>
    </w:tr>
  </w:tbl>
  <w:p w14:paraId="4ECEAD75" w14:textId="77777777" w:rsidR="00C55554" w:rsidRDefault="00C55554" w:rsidP="002A429E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1086B" w14:textId="77777777" w:rsidR="009F21C3" w:rsidRDefault="009F21C3">
      <w:r>
        <w:separator/>
      </w:r>
    </w:p>
  </w:footnote>
  <w:footnote w:type="continuationSeparator" w:id="0">
    <w:p w14:paraId="3D5FF660" w14:textId="77777777" w:rsidR="009F21C3" w:rsidRDefault="009F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6" w:space="0" w:color="BFBFBF"/>
        <w:insideH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895"/>
      <w:gridCol w:w="3428"/>
    </w:tblGrid>
    <w:tr w:rsidR="00C55554" w:rsidRPr="00934E21" w14:paraId="5223B448" w14:textId="77777777" w:rsidTr="00503F93">
      <w:tc>
        <w:tcPr>
          <w:tcW w:w="5245" w:type="dxa"/>
        </w:tcPr>
        <w:p w14:paraId="2C10108B" w14:textId="77777777" w:rsidR="00B1685A" w:rsidRDefault="002F1556" w:rsidP="00671D96">
          <w:pPr>
            <w:pStyle w:val="Kopfzeile"/>
            <w:spacing w:after="120"/>
            <w:rPr>
              <w:rFonts w:ascii="Calibri" w:hAnsi="Calibri" w:cs="Calibri"/>
              <w:b/>
              <w:color w:val="3D4746"/>
              <w:szCs w:val="24"/>
            </w:rPr>
          </w:pPr>
          <w:r>
            <w:rPr>
              <w:rFonts w:ascii="Calibri" w:hAnsi="Calibri" w:cs="Calibri"/>
              <w:b/>
              <w:color w:val="3D4746"/>
              <w:szCs w:val="24"/>
            </w:rPr>
            <w:t xml:space="preserve">Pressetext </w:t>
          </w:r>
        </w:p>
        <w:p w14:paraId="1BF4CE55" w14:textId="013AC817" w:rsidR="00C55554" w:rsidRPr="00934E21" w:rsidRDefault="00B1685A" w:rsidP="00671D96">
          <w:pPr>
            <w:pStyle w:val="Kopfzeile"/>
            <w:spacing w:after="120"/>
            <w:rPr>
              <w:rFonts w:ascii="Calibri" w:hAnsi="Calibri" w:cs="Calibri"/>
              <w:b/>
              <w:color w:val="3D4746"/>
              <w:szCs w:val="24"/>
            </w:rPr>
          </w:pPr>
          <w:r>
            <w:rPr>
              <w:rFonts w:ascii="Calibri" w:hAnsi="Calibri" w:cs="Calibri"/>
              <w:b/>
              <w:color w:val="3D4746"/>
              <w:szCs w:val="24"/>
            </w:rPr>
            <w:t>Prüfung auf i</w:t>
          </w:r>
          <w:r w:rsidR="002F1556">
            <w:rPr>
              <w:rFonts w:ascii="Calibri" w:hAnsi="Calibri" w:cs="Calibri"/>
              <w:b/>
              <w:color w:val="3D4746"/>
              <w:szCs w:val="24"/>
            </w:rPr>
            <w:t>onische Verunreinigungen</w:t>
          </w:r>
          <w:r w:rsidR="00934E21" w:rsidRPr="00934E21">
            <w:rPr>
              <w:rFonts w:ascii="Calibri" w:hAnsi="Calibri" w:cs="Calibri"/>
              <w:b/>
              <w:color w:val="3D4746"/>
              <w:szCs w:val="24"/>
            </w:rPr>
            <w:br/>
          </w:r>
          <w:proofErr w:type="spellStart"/>
          <w:r w:rsidR="002F1556">
            <w:rPr>
              <w:rFonts w:ascii="Calibri" w:hAnsi="Calibri" w:cs="Calibri"/>
              <w:bCs/>
              <w:color w:val="3D4746"/>
              <w:sz w:val="22"/>
              <w:szCs w:val="22"/>
            </w:rPr>
            <w:t>Ch</w:t>
          </w:r>
          <w:proofErr w:type="spellEnd"/>
          <w:r w:rsidR="002F1556">
            <w:rPr>
              <w:rFonts w:ascii="Calibri" w:hAnsi="Calibri" w:cs="Calibri"/>
              <w:bCs/>
              <w:color w:val="3D4746"/>
              <w:sz w:val="22"/>
              <w:szCs w:val="22"/>
            </w:rPr>
            <w:t>. Wolfsperger</w:t>
          </w:r>
        </w:p>
        <w:p w14:paraId="199C6441" w14:textId="47890C60" w:rsidR="00671D96" w:rsidRPr="002F1556" w:rsidRDefault="00B1685A" w:rsidP="007D4D65">
          <w:pPr>
            <w:pStyle w:val="Kopfzeile"/>
            <w:rPr>
              <w:rFonts w:ascii="Verdana" w:hAnsi="Verdana"/>
              <w:color w:val="808080" w:themeColor="background1" w:themeShade="80"/>
              <w:sz w:val="20"/>
            </w:rPr>
          </w:pPr>
          <w:r>
            <w:rPr>
              <w:rFonts w:ascii="Calibri" w:hAnsi="Calibri" w:cs="Calibri"/>
              <w:color w:val="3D4746"/>
              <w:sz w:val="20"/>
            </w:rPr>
            <w:t>31.05.2021</w:t>
          </w:r>
        </w:p>
      </w:tc>
      <w:tc>
        <w:tcPr>
          <w:tcW w:w="895" w:type="dxa"/>
        </w:tcPr>
        <w:p w14:paraId="1FBECF22" w14:textId="77777777" w:rsidR="00C55554" w:rsidRPr="002F1556" w:rsidRDefault="00C55554">
          <w:pPr>
            <w:pStyle w:val="Kopfzeile"/>
            <w:jc w:val="right"/>
            <w:rPr>
              <w:rFonts w:ascii="Calibri" w:hAnsi="Calibri"/>
              <w:color w:val="808080" w:themeColor="background1" w:themeShade="80"/>
              <w:sz w:val="20"/>
            </w:rPr>
          </w:pPr>
        </w:p>
      </w:tc>
      <w:tc>
        <w:tcPr>
          <w:tcW w:w="3428" w:type="dxa"/>
        </w:tcPr>
        <w:p w14:paraId="761D03B2" w14:textId="77777777" w:rsidR="0064654B" w:rsidRPr="002F1556" w:rsidRDefault="0064654B" w:rsidP="0064654B">
          <w:pPr>
            <w:pStyle w:val="Kopfzeile"/>
            <w:jc w:val="center"/>
            <w:rPr>
              <w:rFonts w:ascii="Calibri" w:hAnsi="Calibri"/>
            </w:rPr>
          </w:pPr>
        </w:p>
      </w:tc>
    </w:tr>
  </w:tbl>
  <w:p w14:paraId="3EC8084C" w14:textId="77777777" w:rsidR="00C55554" w:rsidRPr="00004748" w:rsidRDefault="00004748">
    <w:pPr>
      <w:pStyle w:val="Kopfzeile"/>
      <w:rPr>
        <w:sz w:val="8"/>
        <w:lang w:val="en-US"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1192EAE6" wp14:editId="4C4A3221">
          <wp:simplePos x="0" y="0"/>
          <wp:positionH relativeFrom="column">
            <wp:posOffset>3947160</wp:posOffset>
          </wp:positionH>
          <wp:positionV relativeFrom="paragraph">
            <wp:posOffset>-579755</wp:posOffset>
          </wp:positionV>
          <wp:extent cx="2087880" cy="55499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eanCont-Logo-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C429B"/>
    <w:multiLevelType w:val="multilevel"/>
    <w:tmpl w:val="43EE97C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6F60A5"/>
    <w:multiLevelType w:val="multilevel"/>
    <w:tmpl w:val="A81EF6A4"/>
    <w:lvl w:ilvl="0">
      <w:start w:val="1"/>
      <w:numFmt w:val="bullet"/>
      <w:lvlText w:val=""/>
      <w:lvlJc w:val="left"/>
      <w:pPr>
        <w:ind w:left="1416" w:hanging="708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104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1A3761A6"/>
    <w:multiLevelType w:val="hybridMultilevel"/>
    <w:tmpl w:val="F70E5C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6677A"/>
    <w:multiLevelType w:val="multilevel"/>
    <w:tmpl w:val="43EE97C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593D97"/>
    <w:multiLevelType w:val="hybridMultilevel"/>
    <w:tmpl w:val="1652BE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801AB"/>
    <w:multiLevelType w:val="hybridMultilevel"/>
    <w:tmpl w:val="58F05B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406CB"/>
    <w:multiLevelType w:val="hybridMultilevel"/>
    <w:tmpl w:val="8F80B80A"/>
    <w:lvl w:ilvl="0" w:tplc="9EB4E31C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CD7F7B"/>
    <w:multiLevelType w:val="multilevel"/>
    <w:tmpl w:val="BA60A6D2"/>
    <w:lvl w:ilvl="0">
      <w:start w:val="1"/>
      <w:numFmt w:val="bullet"/>
      <w:lvlText w:val=""/>
      <w:lvlJc w:val="left"/>
      <w:pPr>
        <w:ind w:left="1416" w:hanging="708"/>
      </w:pPr>
      <w:rPr>
        <w:rFonts w:ascii="Symbol" w:hAnsi="Symbol" w:cs="Symbol" w:hint="default"/>
      </w:rPr>
    </w:lvl>
    <w:lvl w:ilvl="1">
      <w:start w:val="1"/>
      <w:numFmt w:val="decimal"/>
      <w:isLgl/>
      <w:lvlText w:val="%1.%2"/>
      <w:lvlJc w:val="left"/>
      <w:pPr>
        <w:ind w:left="1104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70397FE4"/>
    <w:multiLevelType w:val="hybridMultilevel"/>
    <w:tmpl w:val="5AB40D66"/>
    <w:lvl w:ilvl="0" w:tplc="8BB082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57C38"/>
    <w:multiLevelType w:val="multilevel"/>
    <w:tmpl w:val="7F788A48"/>
    <w:lvl w:ilvl="0">
      <w:start w:val="1"/>
      <w:numFmt w:val="bullet"/>
      <w:lvlText w:val=""/>
      <w:lvlJc w:val="left"/>
      <w:pPr>
        <w:ind w:left="1416" w:hanging="708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104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76"/>
    <w:rsid w:val="00004748"/>
    <w:rsid w:val="00011F18"/>
    <w:rsid w:val="00021E64"/>
    <w:rsid w:val="00041F9C"/>
    <w:rsid w:val="000A39D9"/>
    <w:rsid w:val="000F3953"/>
    <w:rsid w:val="00104176"/>
    <w:rsid w:val="0020355F"/>
    <w:rsid w:val="00224C0F"/>
    <w:rsid w:val="002627DC"/>
    <w:rsid w:val="002633D0"/>
    <w:rsid w:val="002A429E"/>
    <w:rsid w:val="002C3C20"/>
    <w:rsid w:val="002F1556"/>
    <w:rsid w:val="00382664"/>
    <w:rsid w:val="003B5F1B"/>
    <w:rsid w:val="003F7B0C"/>
    <w:rsid w:val="00402884"/>
    <w:rsid w:val="00451844"/>
    <w:rsid w:val="004869FC"/>
    <w:rsid w:val="004B68B2"/>
    <w:rsid w:val="00503F93"/>
    <w:rsid w:val="005717BD"/>
    <w:rsid w:val="00594994"/>
    <w:rsid w:val="005B33C1"/>
    <w:rsid w:val="005F5854"/>
    <w:rsid w:val="00616AC8"/>
    <w:rsid w:val="00617B38"/>
    <w:rsid w:val="0064654B"/>
    <w:rsid w:val="00661881"/>
    <w:rsid w:val="00671D96"/>
    <w:rsid w:val="006A7B06"/>
    <w:rsid w:val="006B4133"/>
    <w:rsid w:val="007416FB"/>
    <w:rsid w:val="00752FA1"/>
    <w:rsid w:val="007D4D65"/>
    <w:rsid w:val="008B6565"/>
    <w:rsid w:val="008C6418"/>
    <w:rsid w:val="008E44B6"/>
    <w:rsid w:val="00934E21"/>
    <w:rsid w:val="009614DA"/>
    <w:rsid w:val="009F21C3"/>
    <w:rsid w:val="009F72CF"/>
    <w:rsid w:val="00A04553"/>
    <w:rsid w:val="00A64D98"/>
    <w:rsid w:val="00A85BE0"/>
    <w:rsid w:val="00A87E74"/>
    <w:rsid w:val="00AA241A"/>
    <w:rsid w:val="00AD7DA7"/>
    <w:rsid w:val="00AF5C96"/>
    <w:rsid w:val="00B1685A"/>
    <w:rsid w:val="00B24137"/>
    <w:rsid w:val="00B56D2C"/>
    <w:rsid w:val="00B72348"/>
    <w:rsid w:val="00B84D93"/>
    <w:rsid w:val="00BB3476"/>
    <w:rsid w:val="00BC407F"/>
    <w:rsid w:val="00C55554"/>
    <w:rsid w:val="00CC120D"/>
    <w:rsid w:val="00D37980"/>
    <w:rsid w:val="00DE2A7A"/>
    <w:rsid w:val="00E0287E"/>
    <w:rsid w:val="00E034E1"/>
    <w:rsid w:val="00E207CD"/>
    <w:rsid w:val="00E24D6A"/>
    <w:rsid w:val="00E535D0"/>
    <w:rsid w:val="00F46216"/>
    <w:rsid w:val="00F949EA"/>
    <w:rsid w:val="00FC00A0"/>
    <w:rsid w:val="00FC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6F6905"/>
  <w15:chartTrackingRefBased/>
  <w15:docId w15:val="{6C613562-54C4-4E99-B69C-B25E06EB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348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B72348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link w:val="berschrift2Zchn"/>
    <w:uiPriority w:val="9"/>
    <w:qFormat/>
    <w:rsid w:val="0010417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B72348"/>
    <w:pPr>
      <w:framePr w:w="7938" w:h="1985" w:hRule="exact" w:hSpace="141" w:wrap="auto" w:hAnchor="page" w:xAlign="center" w:yAlign="bottom"/>
      <w:ind w:left="2835"/>
    </w:pPr>
    <w:rPr>
      <w:sz w:val="28"/>
    </w:rPr>
  </w:style>
  <w:style w:type="paragraph" w:styleId="Umschlagabsenderadresse">
    <w:name w:val="envelope return"/>
    <w:basedOn w:val="Standard"/>
    <w:rsid w:val="00B72348"/>
  </w:style>
  <w:style w:type="paragraph" w:styleId="Kopfzeile">
    <w:name w:val="header"/>
    <w:basedOn w:val="Standard"/>
    <w:rsid w:val="00B72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7234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72348"/>
  </w:style>
  <w:style w:type="table" w:styleId="Tabellenraster">
    <w:name w:val="Table Grid"/>
    <w:basedOn w:val="NormaleTabelle"/>
    <w:uiPriority w:val="39"/>
    <w:rsid w:val="00041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0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C407F"/>
    <w:rPr>
      <w:rFonts w:ascii="Tahoma" w:hAnsi="Tahoma" w:cs="Tahoma"/>
      <w:sz w:val="16"/>
      <w:szCs w:val="16"/>
    </w:rPr>
  </w:style>
  <w:style w:type="table" w:customStyle="1" w:styleId="HelleSchattierung-Akzent11">
    <w:name w:val="Helle Schattierung - Akzent 11"/>
    <w:basedOn w:val="NormaleTabelle"/>
    <w:uiPriority w:val="60"/>
    <w:rsid w:val="003B5F1B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enabsatz">
    <w:name w:val="List Paragraph"/>
    <w:basedOn w:val="Standard"/>
    <w:uiPriority w:val="34"/>
    <w:qFormat/>
    <w:rsid w:val="00CC120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4176"/>
    <w:rPr>
      <w:b/>
      <w:bCs/>
      <w:sz w:val="36"/>
      <w:szCs w:val="36"/>
    </w:rPr>
  </w:style>
  <w:style w:type="paragraph" w:customStyle="1" w:styleId="text-justify">
    <w:name w:val="text-justify"/>
    <w:basedOn w:val="Standard"/>
    <w:rsid w:val="001041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ubheader">
    <w:name w:val="subheader"/>
    <w:basedOn w:val="Standard"/>
    <w:rsid w:val="001041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tandardWeb">
    <w:name w:val="Normal (Web)"/>
    <w:basedOn w:val="Standard"/>
    <w:uiPriority w:val="99"/>
    <w:semiHidden/>
    <w:unhideWhenUsed/>
    <w:rsid w:val="001041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104176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B84D9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4C0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168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57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4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leancontrolling.com/technical/leistungen-veranstaltungen/chemisch-filmische-verunreinigungen/bestimmung-der-leitfaehigkeit-von-rueckstaenden-ro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eancontrolling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olfsperger\Documents\Benutzerdefinierte%20Office-Vorlagen\CC-Vorlage%20A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CC-Vorlage A4.dotx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Wolfsperger</dc:creator>
  <cp:keywords/>
  <cp:lastModifiedBy>Anne Brabant</cp:lastModifiedBy>
  <cp:revision>2</cp:revision>
  <cp:lastPrinted>2020-06-10T09:52:00Z</cp:lastPrinted>
  <dcterms:created xsi:type="dcterms:W3CDTF">2021-07-12T09:59:00Z</dcterms:created>
  <dcterms:modified xsi:type="dcterms:W3CDTF">2021-07-12T09:59:00Z</dcterms:modified>
</cp:coreProperties>
</file>