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8906" w14:textId="3E0BA255" w:rsidR="002A429E" w:rsidRDefault="002A429E" w:rsidP="00934E21"/>
    <w:p w14:paraId="5F5F7596" w14:textId="15FF69F6" w:rsidR="002D65E5" w:rsidRPr="00C87B73" w:rsidRDefault="00C87B73" w:rsidP="00CA1F1F">
      <w:pPr>
        <w:rPr>
          <w:rFonts w:asciiTheme="minorHAnsi" w:hAnsiTheme="minorHAnsi" w:cstheme="minorHAnsi"/>
          <w:b/>
          <w:bCs/>
          <w:color w:val="FFAA00"/>
        </w:rPr>
      </w:pPr>
      <w:r>
        <w:rPr>
          <w:rFonts w:asciiTheme="minorHAnsi" w:hAnsiTheme="minorHAnsi" w:cstheme="minorHAnsi"/>
          <w:b/>
          <w:bCs/>
          <w:color w:val="FFAA00"/>
        </w:rPr>
        <w:t>Presse</w:t>
      </w:r>
      <w:r w:rsidR="000B4A8F">
        <w:rPr>
          <w:rFonts w:asciiTheme="minorHAnsi" w:hAnsiTheme="minorHAnsi" w:cstheme="minorHAnsi"/>
          <w:b/>
          <w:bCs/>
          <w:color w:val="FFAA00"/>
        </w:rPr>
        <w:t>information</w:t>
      </w:r>
      <w:r w:rsidR="002D65E5" w:rsidRPr="00C87B73">
        <w:rPr>
          <w:rFonts w:asciiTheme="minorHAnsi" w:hAnsiTheme="minorHAnsi" w:cstheme="minorHAnsi"/>
          <w:b/>
          <w:bCs/>
          <w:color w:val="FFAA00"/>
        </w:rPr>
        <w:t xml:space="preserve"> CleanControlling GmbH</w:t>
      </w:r>
    </w:p>
    <w:p w14:paraId="5CEEA108" w14:textId="49A4A52B" w:rsidR="002D65E5" w:rsidRPr="00CA1F1F" w:rsidRDefault="002D65E5" w:rsidP="00CA1F1F">
      <w:pPr>
        <w:rPr>
          <w:rFonts w:asciiTheme="minorHAnsi" w:hAnsiTheme="minorHAnsi" w:cstheme="minorHAnsi"/>
        </w:rPr>
      </w:pPr>
    </w:p>
    <w:p w14:paraId="18BEE454" w14:textId="6F4D9E5A" w:rsidR="00DD5BF1" w:rsidRPr="00CA1F1F" w:rsidRDefault="00DD5BF1" w:rsidP="00CA1F1F">
      <w:pPr>
        <w:rPr>
          <w:rFonts w:asciiTheme="minorHAnsi" w:hAnsiTheme="minorHAnsi" w:cstheme="minorHAnsi"/>
          <w:b/>
          <w:sz w:val="28"/>
          <w:szCs w:val="28"/>
        </w:rPr>
      </w:pPr>
      <w:r w:rsidRPr="00CA1F1F">
        <w:rPr>
          <w:rFonts w:asciiTheme="minorHAnsi" w:hAnsiTheme="minorHAnsi" w:cstheme="minorHAnsi"/>
          <w:b/>
          <w:sz w:val="28"/>
          <w:szCs w:val="28"/>
        </w:rPr>
        <w:t>Saugextraktion – benutzerfreundlich und zuverlässig</w:t>
      </w:r>
    </w:p>
    <w:p w14:paraId="6E4A2FF9" w14:textId="77777777" w:rsidR="00DD5BF1" w:rsidRPr="00CA1F1F" w:rsidRDefault="00DD5BF1" w:rsidP="00CA1F1F">
      <w:pPr>
        <w:rPr>
          <w:rFonts w:asciiTheme="minorHAnsi" w:hAnsiTheme="minorHAnsi" w:cstheme="minorHAnsi"/>
          <w:b/>
        </w:rPr>
      </w:pPr>
    </w:p>
    <w:p w14:paraId="4C6146BA" w14:textId="078D1C42" w:rsidR="002D65E5" w:rsidRPr="00CA1F1F" w:rsidRDefault="00DD5BF1" w:rsidP="00CA1F1F">
      <w:pPr>
        <w:rPr>
          <w:rFonts w:asciiTheme="minorHAnsi" w:hAnsiTheme="minorHAnsi" w:cstheme="minorHAnsi"/>
        </w:rPr>
      </w:pPr>
      <w:r w:rsidRPr="00CA1F1F">
        <w:rPr>
          <w:rFonts w:asciiTheme="minorHAnsi" w:hAnsiTheme="minorHAnsi" w:cstheme="minorHAnsi"/>
          <w:b/>
        </w:rPr>
        <w:t xml:space="preserve">CleanControlling präsentiert auf der diesjährigen parts2clean in Stuttgart verschiedene Neuheiten und Weiterentwicklungen. Dazu </w:t>
      </w:r>
      <w:r w:rsidR="00CA1F1F">
        <w:rPr>
          <w:rFonts w:asciiTheme="minorHAnsi" w:hAnsiTheme="minorHAnsi" w:cstheme="minorHAnsi"/>
          <w:b/>
        </w:rPr>
        <w:t>zählt</w:t>
      </w:r>
      <w:r w:rsidRPr="00CA1F1F">
        <w:rPr>
          <w:rFonts w:asciiTheme="minorHAnsi" w:hAnsiTheme="minorHAnsi" w:cstheme="minorHAnsi"/>
          <w:b/>
        </w:rPr>
        <w:t xml:space="preserve"> die </w:t>
      </w:r>
      <w:r w:rsidR="003B65B4" w:rsidRPr="00CA1F1F">
        <w:rPr>
          <w:rFonts w:asciiTheme="minorHAnsi" w:hAnsiTheme="minorHAnsi" w:cstheme="minorHAnsi"/>
          <w:b/>
        </w:rPr>
        <w:t>N</w:t>
      </w:r>
      <w:r w:rsidRPr="00CA1F1F">
        <w:rPr>
          <w:rFonts w:asciiTheme="minorHAnsi" w:hAnsiTheme="minorHAnsi" w:cstheme="minorHAnsi"/>
          <w:b/>
        </w:rPr>
        <w:t xml:space="preserve">euentwicklung der </w:t>
      </w:r>
      <w:r w:rsidR="00DE4410" w:rsidRPr="00CA1F1F">
        <w:rPr>
          <w:rFonts w:asciiTheme="minorHAnsi" w:hAnsiTheme="minorHAnsi" w:cstheme="minorHAnsi"/>
          <w:b/>
        </w:rPr>
        <w:t>neuesten</w:t>
      </w:r>
      <w:r w:rsidRPr="00CA1F1F">
        <w:rPr>
          <w:rFonts w:asciiTheme="minorHAnsi" w:hAnsiTheme="minorHAnsi" w:cstheme="minorHAnsi"/>
          <w:b/>
        </w:rPr>
        <w:t xml:space="preserve"> Generation des Partikel</w:t>
      </w:r>
      <w:r w:rsidR="003B65B4" w:rsidRPr="00CA1F1F">
        <w:rPr>
          <w:rFonts w:asciiTheme="minorHAnsi" w:hAnsiTheme="minorHAnsi" w:cstheme="minorHAnsi"/>
          <w:b/>
        </w:rPr>
        <w:t>-S</w:t>
      </w:r>
      <w:r w:rsidRPr="00CA1F1F">
        <w:rPr>
          <w:rFonts w:asciiTheme="minorHAnsi" w:hAnsiTheme="minorHAnsi" w:cstheme="minorHAnsi"/>
          <w:b/>
        </w:rPr>
        <w:t xml:space="preserve">augextraktionssystems </w:t>
      </w:r>
      <w:r w:rsidR="00DE4410" w:rsidRPr="00CA1F1F">
        <w:rPr>
          <w:rFonts w:asciiTheme="minorHAnsi" w:hAnsiTheme="minorHAnsi" w:cstheme="minorHAnsi"/>
          <w:b/>
        </w:rPr>
        <w:t>mit dem</w:t>
      </w:r>
      <w:r w:rsidR="001C1DAC" w:rsidRPr="00CA1F1F">
        <w:rPr>
          <w:rFonts w:asciiTheme="minorHAnsi" w:hAnsiTheme="minorHAnsi" w:cstheme="minorHAnsi"/>
          <w:b/>
        </w:rPr>
        <w:t xml:space="preserve"> </w:t>
      </w:r>
      <w:r w:rsidRPr="00CA1F1F">
        <w:rPr>
          <w:rFonts w:asciiTheme="minorHAnsi" w:hAnsiTheme="minorHAnsi" w:cstheme="minorHAnsi"/>
          <w:b/>
        </w:rPr>
        <w:t>C|PS³apex</w:t>
      </w:r>
      <w:r w:rsidR="003B65B4" w:rsidRPr="00CA1F1F">
        <w:rPr>
          <w:rFonts w:asciiTheme="minorHAnsi" w:hAnsiTheme="minorHAnsi" w:cstheme="minorHAnsi"/>
          <w:b/>
        </w:rPr>
        <w:t xml:space="preserve">. </w:t>
      </w:r>
    </w:p>
    <w:p w14:paraId="44BE6D17" w14:textId="586BD695" w:rsidR="002D65E5" w:rsidRPr="00CA1F1F" w:rsidRDefault="002D65E5" w:rsidP="00CA1F1F">
      <w:pPr>
        <w:rPr>
          <w:rFonts w:asciiTheme="minorHAnsi" w:hAnsiTheme="minorHAnsi" w:cstheme="minorHAnsi"/>
        </w:rPr>
      </w:pPr>
    </w:p>
    <w:p w14:paraId="0588CE8C" w14:textId="04F47DE6" w:rsidR="002D65E5" w:rsidRPr="00CA1F1F" w:rsidRDefault="002D65E5"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Die vollflächige Nassextraktion von Bauteilen zur Bestimmung der vorhandenen Partikelfracht ist seit Jahren Stand der Technik und hinreichend normativ beschrieben. Bauteile, die im Kontakt mit flüssigen Medien durch Vollsaugen, Auflösung, etc. beschädigt werden können, sind mit der Nassextraktion nicht prüfbar. Vor einigen Jahren wurden daher neue Extraktionsmethoden, unter anderem die Luftextraktion durch Abblasen der Bauteile in einem geschlossenen Spülkabinett in die VDA 19.1 und der ISO 16232 aufgenommen. Zwischenzeitlich hat sich das Bauteilspektrum auch in Verbindung mit der E-Mobilität und Assistenzsystemen sehr stark verändert, für das auch die Luftextraktion durch Abblasen an Grenzen stößt. So ist z.B. die Prüfung der großen Bauteile von Batteriesystemen in einem geschlossenen Spülkabinett ungeeignet. Aber auch die Anforderung nach geeigneten Prüfmethoden direkt im Prozessumfeld ist mit den etablierten Extraktionsmethoden nicht erfüllbar.</w:t>
      </w:r>
    </w:p>
    <w:p w14:paraId="1BA6638A" w14:textId="14E99C79" w:rsidR="00DE4410" w:rsidRDefault="002D65E5"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CleanControlling hat daher ergänzend das Verfahren der Saugextraktion entwickelt. Diese Partikelsaugextraktion stellt heute eine Variante der in den Normen beschriebenen Luftextraktion dar. Die Qualifizierung der Extraktionsparameter erfolgt hierbei auch mittels Abklingmessung nach VDA 19.1 / ISO 16232, die Analysefiltration und die lichtoptische Analyse erfolgt ebenfalls nach VDA 19.1 / ISO 16232 und führt damit zu reproduzierbaren und vergleichbaren Ergebnissen. Die Saugextraktion wird zunehmend in Prüfspezifikationen namhafter OEM und Zulieferer definiert und normativ beschrieben.</w:t>
      </w:r>
    </w:p>
    <w:p w14:paraId="192DA7DA" w14:textId="77777777" w:rsidR="00C52AFC" w:rsidRDefault="00C52AFC" w:rsidP="00CA1F1F">
      <w:pPr>
        <w:spacing w:after="120"/>
        <w:rPr>
          <w:rFonts w:asciiTheme="minorHAnsi" w:eastAsiaTheme="minorHAnsi" w:hAnsiTheme="minorHAnsi" w:cstheme="minorHAnsi"/>
          <w:b/>
          <w:sz w:val="22"/>
          <w:szCs w:val="22"/>
          <w:lang w:eastAsia="en-US"/>
        </w:rPr>
      </w:pPr>
    </w:p>
    <w:p w14:paraId="0C551DA2" w14:textId="467BDF2D" w:rsidR="00C27C08" w:rsidRPr="00A75F99" w:rsidRDefault="00ED149F" w:rsidP="00CA1F1F">
      <w:pPr>
        <w:spacing w:after="120"/>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Effektivität der Saugextraktion im Vergleich</w:t>
      </w:r>
    </w:p>
    <w:p w14:paraId="4DDB8A29" w14:textId="3F11761E" w:rsidR="00ED149F" w:rsidRDefault="00ED149F" w:rsidP="00A75F99">
      <w:pPr>
        <w:spacing w:after="12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Die</w:t>
      </w:r>
      <w:r w:rsidR="00A75F99" w:rsidRPr="00A75F99">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Prüfung</w:t>
      </w:r>
      <w:r w:rsidR="00A75F99" w:rsidRPr="00A75F99">
        <w:rPr>
          <w:rFonts w:asciiTheme="minorHAnsi" w:eastAsiaTheme="minorHAnsi" w:hAnsiTheme="minorHAnsi" w:cstheme="minorHAnsi"/>
          <w:bCs/>
          <w:sz w:val="22"/>
          <w:szCs w:val="22"/>
          <w:lang w:eastAsia="en-US"/>
        </w:rPr>
        <w:t xml:space="preserve"> von Partikelverunreinigungen an funktionsrelevanten Bauteilen, die im Wesentlichen aus dem Herstellungsprozess resultieren, erfolgt durch eine indirekte Prüfung</w:t>
      </w:r>
      <w:r>
        <w:rPr>
          <w:rFonts w:asciiTheme="minorHAnsi" w:eastAsiaTheme="minorHAnsi" w:hAnsiTheme="minorHAnsi" w:cstheme="minorHAnsi"/>
          <w:bCs/>
          <w:sz w:val="22"/>
          <w:szCs w:val="22"/>
          <w:lang w:eastAsia="en-US"/>
        </w:rPr>
        <w:t xml:space="preserve">. </w:t>
      </w:r>
      <w:r w:rsidRPr="00ED149F">
        <w:rPr>
          <w:rFonts w:asciiTheme="minorHAnsi" w:eastAsiaTheme="minorHAnsi" w:hAnsiTheme="minorHAnsi" w:cstheme="minorHAnsi"/>
          <w:bCs/>
          <w:sz w:val="22"/>
          <w:szCs w:val="22"/>
          <w:lang w:eastAsia="en-US"/>
        </w:rPr>
        <w:t>Vor der mikroskopischen Auswertung durch Vermessung, Zählung und Typisierung der Partikel, werden diese durch einen Probenahmeschritt vom Bauteil extrahiert.</w:t>
      </w:r>
      <w:r w:rsidR="00A75F99" w:rsidRPr="00A75F99">
        <w:rPr>
          <w:rFonts w:asciiTheme="minorHAnsi" w:eastAsiaTheme="minorHAnsi" w:hAnsiTheme="minorHAnsi" w:cstheme="minorHAnsi"/>
          <w:bCs/>
          <w:sz w:val="22"/>
          <w:szCs w:val="22"/>
          <w:lang w:eastAsia="en-US"/>
        </w:rPr>
        <w:t xml:space="preserve"> Dieser als Extraktion bezeichnete Vorgang erfolgt mit Hilfe von flüssigem oder trockenem Medium. Zu den weit verbreiteten Extraktionsverfahren gehören unter anderem </w:t>
      </w:r>
      <w:r w:rsidR="00817CFB">
        <w:rPr>
          <w:rFonts w:asciiTheme="minorHAnsi" w:eastAsiaTheme="minorHAnsi" w:hAnsiTheme="minorHAnsi" w:cstheme="minorHAnsi"/>
          <w:bCs/>
          <w:sz w:val="22"/>
          <w:szCs w:val="22"/>
          <w:lang w:eastAsia="en-US"/>
        </w:rPr>
        <w:t>folgende Methoden:</w:t>
      </w:r>
    </w:p>
    <w:p w14:paraId="057A0881" w14:textId="56A8A860" w:rsidR="00ED149F" w:rsidRPr="00817CFB" w:rsidRDefault="00A75F99" w:rsidP="00817CFB">
      <w:pPr>
        <w:spacing w:after="120"/>
        <w:ind w:left="708"/>
        <w:rPr>
          <w:rFonts w:asciiTheme="minorHAnsi" w:eastAsiaTheme="minorHAnsi" w:hAnsiTheme="minorHAnsi" w:cstheme="minorHAnsi"/>
          <w:b/>
          <w:sz w:val="22"/>
          <w:szCs w:val="22"/>
          <w:lang w:eastAsia="en-US"/>
        </w:rPr>
      </w:pPr>
      <w:r w:rsidRPr="00817CFB">
        <w:rPr>
          <w:rFonts w:asciiTheme="minorHAnsi" w:eastAsiaTheme="minorHAnsi" w:hAnsiTheme="minorHAnsi" w:cstheme="minorHAnsi"/>
          <w:b/>
          <w:sz w:val="22"/>
          <w:szCs w:val="22"/>
          <w:lang w:eastAsia="en-US"/>
        </w:rPr>
        <w:t>Spritzen</w:t>
      </w:r>
      <w:r w:rsidR="00ED149F" w:rsidRPr="00817CFB">
        <w:rPr>
          <w:rFonts w:asciiTheme="minorHAnsi" w:eastAsiaTheme="minorHAnsi" w:hAnsiTheme="minorHAnsi" w:cstheme="minorHAnsi"/>
          <w:b/>
          <w:sz w:val="22"/>
          <w:szCs w:val="22"/>
          <w:lang w:eastAsia="en-US"/>
        </w:rPr>
        <w:t xml:space="preserve"> </w:t>
      </w:r>
      <w:r w:rsidR="00ED149F" w:rsidRPr="00817CFB">
        <w:rPr>
          <w:rFonts w:asciiTheme="minorHAnsi" w:eastAsiaTheme="minorHAnsi" w:hAnsiTheme="minorHAnsi" w:cstheme="minorHAnsi"/>
          <w:b/>
          <w:sz w:val="22"/>
          <w:szCs w:val="22"/>
          <w:lang w:eastAsia="en-US"/>
        </w:rPr>
        <w:tab/>
      </w:r>
      <w:r w:rsidR="00817CFB" w:rsidRPr="00817CFB">
        <w:rPr>
          <w:rFonts w:asciiTheme="minorHAnsi" w:eastAsiaTheme="minorHAnsi" w:hAnsiTheme="minorHAnsi" w:cstheme="minorHAnsi"/>
          <w:b/>
          <w:sz w:val="22"/>
          <w:szCs w:val="22"/>
          <w:lang w:eastAsia="en-US"/>
        </w:rPr>
        <w:tab/>
      </w:r>
      <w:r w:rsidRPr="00817CFB">
        <w:rPr>
          <w:rFonts w:asciiTheme="minorHAnsi" w:eastAsiaTheme="minorHAnsi" w:hAnsiTheme="minorHAnsi" w:cstheme="minorHAnsi"/>
          <w:b/>
          <w:sz w:val="22"/>
          <w:szCs w:val="22"/>
          <w:lang w:eastAsia="en-US"/>
        </w:rPr>
        <w:t xml:space="preserve">Abblasen </w:t>
      </w:r>
      <w:r w:rsidR="00ED149F" w:rsidRPr="00817CFB">
        <w:rPr>
          <w:rFonts w:asciiTheme="minorHAnsi" w:eastAsiaTheme="minorHAnsi" w:hAnsiTheme="minorHAnsi" w:cstheme="minorHAnsi"/>
          <w:b/>
          <w:sz w:val="22"/>
          <w:szCs w:val="22"/>
          <w:lang w:eastAsia="en-US"/>
        </w:rPr>
        <w:tab/>
      </w:r>
      <w:r w:rsidR="00817CFB" w:rsidRPr="00817CFB">
        <w:rPr>
          <w:rFonts w:asciiTheme="minorHAnsi" w:eastAsiaTheme="minorHAnsi" w:hAnsiTheme="minorHAnsi" w:cstheme="minorHAnsi"/>
          <w:b/>
          <w:sz w:val="22"/>
          <w:szCs w:val="22"/>
          <w:lang w:eastAsia="en-US"/>
        </w:rPr>
        <w:tab/>
      </w:r>
      <w:r w:rsidRPr="00817CFB">
        <w:rPr>
          <w:rFonts w:asciiTheme="minorHAnsi" w:eastAsiaTheme="minorHAnsi" w:hAnsiTheme="minorHAnsi" w:cstheme="minorHAnsi"/>
          <w:b/>
          <w:sz w:val="22"/>
          <w:szCs w:val="22"/>
          <w:lang w:eastAsia="en-US"/>
        </w:rPr>
        <w:t>Absaugen</w:t>
      </w:r>
    </w:p>
    <w:p w14:paraId="2D71D4E1" w14:textId="6DF71817" w:rsidR="00817CFB" w:rsidRDefault="00817CFB" w:rsidP="00817CFB">
      <w:pPr>
        <w:spacing w:after="120"/>
        <w:ind w:left="708"/>
        <w:rPr>
          <w:rFonts w:asciiTheme="minorHAnsi" w:eastAsiaTheme="minorHAnsi" w:hAnsiTheme="minorHAnsi" w:cstheme="minorHAnsi"/>
          <w:bCs/>
          <w:sz w:val="22"/>
          <w:szCs w:val="22"/>
          <w:lang w:eastAsia="en-US"/>
        </w:rPr>
      </w:pPr>
      <w:r>
        <w:rPr>
          <w:rFonts w:asciiTheme="minorHAnsi" w:eastAsiaTheme="minorHAnsi" w:hAnsiTheme="minorHAnsi" w:cstheme="minorHAnsi"/>
          <w:bCs/>
          <w:noProof/>
          <w:sz w:val="22"/>
          <w:szCs w:val="22"/>
          <w:lang w:eastAsia="en-US"/>
        </w:rPr>
        <w:drawing>
          <wp:anchor distT="0" distB="0" distL="114300" distR="114300" simplePos="0" relativeHeight="251661312" behindDoc="0" locked="0" layoutInCell="1" allowOverlap="1" wp14:anchorId="4A10F99F" wp14:editId="1B520AEF">
            <wp:simplePos x="0" y="0"/>
            <wp:positionH relativeFrom="column">
              <wp:posOffset>232410</wp:posOffset>
            </wp:positionH>
            <wp:positionV relativeFrom="paragraph">
              <wp:posOffset>5080</wp:posOffset>
            </wp:positionV>
            <wp:extent cx="892810" cy="887095"/>
            <wp:effectExtent l="0" t="0" r="2540" b="825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892810" cy="887095"/>
                    </a:xfrm>
                    <a:prstGeom prst="rect">
                      <a:avLst/>
                    </a:prstGeom>
                  </pic:spPr>
                </pic:pic>
              </a:graphicData>
            </a:graphic>
          </wp:anchor>
        </w:drawing>
      </w:r>
      <w:r>
        <w:rPr>
          <w:rFonts w:asciiTheme="minorHAnsi" w:eastAsiaTheme="minorHAnsi" w:hAnsiTheme="minorHAnsi" w:cstheme="minorHAnsi"/>
          <w:bCs/>
          <w:noProof/>
          <w:sz w:val="22"/>
          <w:szCs w:val="22"/>
          <w:lang w:eastAsia="en-US"/>
        </w:rPr>
        <w:drawing>
          <wp:anchor distT="0" distB="0" distL="114300" distR="114300" simplePos="0" relativeHeight="251660288" behindDoc="0" locked="0" layoutInCell="1" allowOverlap="1" wp14:anchorId="41F8B8BD" wp14:editId="39F92FFE">
            <wp:simplePos x="0" y="0"/>
            <wp:positionH relativeFrom="column">
              <wp:posOffset>1613535</wp:posOffset>
            </wp:positionH>
            <wp:positionV relativeFrom="paragraph">
              <wp:posOffset>5080</wp:posOffset>
            </wp:positionV>
            <wp:extent cx="908050" cy="87757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908050" cy="877570"/>
                    </a:xfrm>
                    <a:prstGeom prst="rect">
                      <a:avLst/>
                    </a:prstGeom>
                  </pic:spPr>
                </pic:pic>
              </a:graphicData>
            </a:graphic>
          </wp:anchor>
        </w:drawing>
      </w:r>
      <w:r>
        <w:rPr>
          <w:rFonts w:asciiTheme="minorHAnsi" w:eastAsiaTheme="minorHAnsi" w:hAnsiTheme="minorHAnsi" w:cstheme="minorHAnsi"/>
          <w:bCs/>
          <w:noProof/>
          <w:sz w:val="22"/>
          <w:szCs w:val="22"/>
          <w:lang w:eastAsia="en-US"/>
        </w:rPr>
        <w:drawing>
          <wp:anchor distT="0" distB="0" distL="114300" distR="114300" simplePos="0" relativeHeight="251662336" behindDoc="0" locked="0" layoutInCell="1" allowOverlap="1" wp14:anchorId="5994AFC2" wp14:editId="3B642D55">
            <wp:simplePos x="0" y="0"/>
            <wp:positionH relativeFrom="column">
              <wp:posOffset>2994660</wp:posOffset>
            </wp:positionH>
            <wp:positionV relativeFrom="paragraph">
              <wp:posOffset>5080</wp:posOffset>
            </wp:positionV>
            <wp:extent cx="871220" cy="85344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a:extLst>
                        <a:ext uri="{28A0092B-C50C-407E-A947-70E740481C1C}">
                          <a14:useLocalDpi xmlns:a14="http://schemas.microsoft.com/office/drawing/2010/main" val="0"/>
                        </a:ext>
                      </a:extLst>
                    </a:blip>
                    <a:stretch>
                      <a:fillRect/>
                    </a:stretch>
                  </pic:blipFill>
                  <pic:spPr>
                    <a:xfrm>
                      <a:off x="0" y="0"/>
                      <a:ext cx="871220" cy="853440"/>
                    </a:xfrm>
                    <a:prstGeom prst="rect">
                      <a:avLst/>
                    </a:prstGeom>
                  </pic:spPr>
                </pic:pic>
              </a:graphicData>
            </a:graphic>
          </wp:anchor>
        </w:drawing>
      </w:r>
    </w:p>
    <w:p w14:paraId="354D1BE2" w14:textId="14322FB6" w:rsidR="00817CFB" w:rsidRDefault="00817CFB" w:rsidP="00817CFB">
      <w:pPr>
        <w:spacing w:after="120"/>
        <w:ind w:left="708"/>
        <w:rPr>
          <w:rFonts w:asciiTheme="minorHAnsi" w:eastAsiaTheme="minorHAnsi" w:hAnsiTheme="minorHAnsi" w:cstheme="minorHAnsi"/>
          <w:bCs/>
          <w:sz w:val="22"/>
          <w:szCs w:val="22"/>
          <w:lang w:eastAsia="en-US"/>
        </w:rPr>
      </w:pPr>
    </w:p>
    <w:p w14:paraId="54E3C7B2" w14:textId="1CB899A7" w:rsidR="00817CFB" w:rsidRDefault="00817CFB" w:rsidP="00817CFB">
      <w:pPr>
        <w:spacing w:after="120"/>
        <w:ind w:left="708"/>
        <w:rPr>
          <w:rFonts w:asciiTheme="minorHAnsi" w:eastAsiaTheme="minorHAnsi" w:hAnsiTheme="minorHAnsi" w:cstheme="minorHAnsi"/>
          <w:bCs/>
          <w:sz w:val="22"/>
          <w:szCs w:val="22"/>
          <w:lang w:eastAsia="en-US"/>
        </w:rPr>
      </w:pPr>
    </w:p>
    <w:p w14:paraId="70B6AA70" w14:textId="0E1C5653" w:rsidR="00ED149F" w:rsidRDefault="00A75F99" w:rsidP="00ED149F">
      <w:pPr>
        <w:spacing w:after="120"/>
        <w:ind w:firstLine="708"/>
        <w:rPr>
          <w:rFonts w:asciiTheme="minorHAnsi" w:eastAsiaTheme="minorHAnsi" w:hAnsiTheme="minorHAnsi" w:cstheme="minorHAnsi"/>
          <w:bCs/>
          <w:sz w:val="22"/>
          <w:szCs w:val="22"/>
          <w:lang w:eastAsia="en-US"/>
        </w:rPr>
      </w:pPr>
      <w:r w:rsidRPr="00A75F99">
        <w:rPr>
          <w:rFonts w:asciiTheme="minorHAnsi" w:eastAsiaTheme="minorHAnsi" w:hAnsiTheme="minorHAnsi" w:cstheme="minorHAnsi"/>
          <w:bCs/>
          <w:sz w:val="22"/>
          <w:szCs w:val="22"/>
          <w:lang w:eastAsia="en-US"/>
        </w:rPr>
        <w:t xml:space="preserve"> </w:t>
      </w:r>
    </w:p>
    <w:p w14:paraId="1DEE617B" w14:textId="00D270BA" w:rsidR="00A75F99" w:rsidRDefault="00817CFB" w:rsidP="00817CFB">
      <w:pPr>
        <w:spacing w:after="120"/>
        <w:rPr>
          <w:rFonts w:asciiTheme="minorHAnsi" w:eastAsiaTheme="minorHAnsi" w:hAnsiTheme="minorHAnsi" w:cstheme="minorHAnsi"/>
          <w:bCs/>
          <w:sz w:val="22"/>
          <w:szCs w:val="22"/>
        </w:rPr>
      </w:pPr>
      <w:r w:rsidRPr="00817CFB">
        <w:rPr>
          <w:rFonts w:asciiTheme="minorHAnsi" w:eastAsiaTheme="minorHAnsi" w:hAnsiTheme="minorHAnsi" w:cstheme="minorHAnsi"/>
          <w:bCs/>
          <w:sz w:val="22"/>
          <w:szCs w:val="22"/>
        </w:rPr>
        <w:t>Für die Untersuchung der Effektivität dieser drei Extraktionsverfahren wurde in 2021 durch eine Arbeitsgruppe des ZVEI e.V. (Verband der Elektro- und Digitalindustrie) eine umfassende Studie mit groß angelegter Testreihe mit verschiedenen elektrischen und elektronischen Baugruppen durchgeführt. Es wurden mehrere Bauteile von HV-Steckverbindern, Steckerleisten und</w:t>
      </w:r>
      <w:r w:rsidRPr="00817CFB">
        <w:rPr>
          <w:rFonts w:asciiTheme="minorHAnsi" w:eastAsiaTheme="minorHAnsi" w:hAnsiTheme="minorHAnsi" w:cstheme="minorHAnsi"/>
          <w:bCs/>
        </w:rPr>
        <w:t xml:space="preserve"> Leiterplatten aus der gleichen </w:t>
      </w:r>
      <w:r w:rsidRPr="00817CFB">
        <w:rPr>
          <w:rFonts w:asciiTheme="minorHAnsi" w:eastAsiaTheme="minorHAnsi" w:hAnsiTheme="minorHAnsi" w:cstheme="minorHAnsi"/>
          <w:bCs/>
          <w:sz w:val="22"/>
          <w:szCs w:val="22"/>
        </w:rPr>
        <w:t>Produktionschargen entnommen und mit diesen drei Extraktionsverfahren geprüft und analysiert. Der Fokus lag hierbei auf der Gesamtpartikelanzahl aus mehreren Einzelanalysen und der Streuungsbreite untereinander. </w:t>
      </w:r>
    </w:p>
    <w:p w14:paraId="65A184ED" w14:textId="16898EE5" w:rsidR="00030397" w:rsidRDefault="00030397" w:rsidP="00030397">
      <w:pPr>
        <w:spacing w:after="120"/>
        <w:rPr>
          <w:rFonts w:asciiTheme="minorHAnsi" w:eastAsiaTheme="minorHAnsi" w:hAnsiTheme="minorHAnsi" w:cstheme="minorHAnsi"/>
          <w:b/>
          <w:sz w:val="22"/>
          <w:szCs w:val="22"/>
          <w:lang w:eastAsia="en-US"/>
        </w:rPr>
      </w:pPr>
    </w:p>
    <w:p w14:paraId="48CF999B" w14:textId="541B5363" w:rsidR="00030397" w:rsidRPr="00030397" w:rsidRDefault="00030397" w:rsidP="00030397">
      <w:pPr>
        <w:spacing w:after="120"/>
        <w:rPr>
          <w:rFonts w:asciiTheme="minorHAnsi" w:eastAsiaTheme="minorHAnsi" w:hAnsiTheme="minorHAnsi" w:cstheme="minorHAnsi"/>
          <w:b/>
          <w:sz w:val="22"/>
          <w:szCs w:val="22"/>
          <w:lang w:eastAsia="en-US"/>
        </w:rPr>
      </w:pPr>
      <w:r w:rsidRPr="00030397">
        <w:rPr>
          <w:rFonts w:asciiTheme="minorHAnsi" w:eastAsiaTheme="minorHAnsi" w:hAnsiTheme="minorHAnsi" w:cstheme="minorHAnsi"/>
          <w:b/>
          <w:sz w:val="22"/>
          <w:szCs w:val="22"/>
          <w:lang w:eastAsia="en-US"/>
        </w:rPr>
        <w:t>Die statistische Auswertung zeigt, dass die Verfahren miteinander vergleichbar sind.</w:t>
      </w:r>
    </w:p>
    <w:p w14:paraId="243B44D9" w14:textId="62C87FC7" w:rsidR="00030397" w:rsidRDefault="00030397" w:rsidP="00817CFB">
      <w:pPr>
        <w:spacing w:after="120"/>
        <w:rPr>
          <w:rFonts w:asciiTheme="minorHAnsi" w:eastAsiaTheme="minorHAnsi" w:hAnsiTheme="minorHAnsi" w:cstheme="minorHAnsi"/>
          <w:bCs/>
          <w:sz w:val="22"/>
          <w:szCs w:val="22"/>
        </w:rPr>
      </w:pPr>
      <w:r w:rsidRPr="00030397">
        <w:rPr>
          <w:rFonts w:asciiTheme="minorHAnsi" w:eastAsiaTheme="minorHAnsi" w:hAnsiTheme="minorHAnsi" w:cstheme="minorHAnsi"/>
          <w:bCs/>
          <w:sz w:val="22"/>
          <w:szCs w:val="22"/>
        </w:rPr>
        <w:t xml:space="preserve">Die Bewertung </w:t>
      </w:r>
      <w:r>
        <w:rPr>
          <w:rFonts w:asciiTheme="minorHAnsi" w:eastAsiaTheme="minorHAnsi" w:hAnsiTheme="minorHAnsi" w:cstheme="minorHAnsi"/>
          <w:bCs/>
          <w:sz w:val="22"/>
          <w:szCs w:val="22"/>
        </w:rPr>
        <w:t xml:space="preserve">der Analyseergebnisse </w:t>
      </w:r>
      <w:r w:rsidRPr="00030397">
        <w:rPr>
          <w:rFonts w:asciiTheme="minorHAnsi" w:eastAsiaTheme="minorHAnsi" w:hAnsiTheme="minorHAnsi" w:cstheme="minorHAnsi"/>
          <w:bCs/>
          <w:sz w:val="22"/>
          <w:szCs w:val="22"/>
        </w:rPr>
        <w:t>zeigte, dass die größten metallischen Partikel von allen drei untersuchten Methoden zuverlässig extrahiert werden. Die Ergebnisse zeigen auch, dass Bauteile gleicher Charge zwar eine große Streuung besitzen, diese aber hinreichend einer Normalverteilung folgt, um daraus Mittelwerte und Standardabweichungen ableiten zu können. </w:t>
      </w:r>
    </w:p>
    <w:p w14:paraId="5CEF1EA0" w14:textId="40DAEB4E" w:rsidR="00030397" w:rsidRPr="00030397" w:rsidRDefault="00ED2244" w:rsidP="00030397">
      <w:pPr>
        <w:spacing w:after="120"/>
        <w:rPr>
          <w:rFonts w:asciiTheme="minorHAnsi" w:eastAsiaTheme="minorHAnsi" w:hAnsiTheme="minorHAnsi" w:cstheme="minorHAnsi"/>
          <w:bCs/>
          <w:sz w:val="22"/>
          <w:szCs w:val="22"/>
        </w:rPr>
      </w:pPr>
      <w:r w:rsidRPr="00030397">
        <w:rPr>
          <w:rFonts w:asciiTheme="minorHAnsi" w:eastAsiaTheme="minorHAnsi" w:hAnsiTheme="minorHAnsi" w:cstheme="minorHAnsi"/>
          <w:bCs/>
          <w:sz w:val="22"/>
          <w:szCs w:val="22"/>
        </w:rPr>
        <w:drawing>
          <wp:anchor distT="0" distB="0" distL="114300" distR="114300" simplePos="0" relativeHeight="251664384" behindDoc="1" locked="0" layoutInCell="1" allowOverlap="1" wp14:anchorId="343FD784" wp14:editId="03299FD9">
            <wp:simplePos x="0" y="0"/>
            <wp:positionH relativeFrom="column">
              <wp:posOffset>3517900</wp:posOffset>
            </wp:positionH>
            <wp:positionV relativeFrom="paragraph">
              <wp:posOffset>54610</wp:posOffset>
            </wp:positionV>
            <wp:extent cx="2968625" cy="1578610"/>
            <wp:effectExtent l="0" t="0" r="3175" b="2540"/>
            <wp:wrapTight wrapText="bothSides">
              <wp:wrapPolygon edited="0">
                <wp:start x="0" y="0"/>
                <wp:lineTo x="0" y="21374"/>
                <wp:lineTo x="21484" y="21374"/>
                <wp:lineTo x="21484" y="0"/>
                <wp:lineTo x="0" y="0"/>
              </wp:wrapPolygon>
            </wp:wrapTight>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862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397" w:rsidRPr="00030397">
        <w:rPr>
          <w:rFonts w:asciiTheme="minorHAnsi" w:eastAsiaTheme="minorHAnsi" w:hAnsiTheme="minorHAnsi" w:cstheme="minorHAnsi"/>
          <w:bCs/>
          <w:sz w:val="22"/>
          <w:szCs w:val="22"/>
        </w:rPr>
        <w:t xml:space="preserve">Tendenziell </w:t>
      </w:r>
      <w:r w:rsidR="00030397">
        <w:rPr>
          <w:rFonts w:asciiTheme="minorHAnsi" w:eastAsiaTheme="minorHAnsi" w:hAnsiTheme="minorHAnsi" w:cstheme="minorHAnsi"/>
          <w:bCs/>
          <w:sz w:val="22"/>
          <w:szCs w:val="22"/>
        </w:rPr>
        <w:t>ergibt sich daraus</w:t>
      </w:r>
      <w:r w:rsidR="00030397" w:rsidRPr="00030397">
        <w:rPr>
          <w:rFonts w:asciiTheme="minorHAnsi" w:eastAsiaTheme="minorHAnsi" w:hAnsiTheme="minorHAnsi" w:cstheme="minorHAnsi"/>
          <w:bCs/>
          <w:sz w:val="22"/>
          <w:szCs w:val="22"/>
        </w:rPr>
        <w:t xml:space="preserve"> zwischen </w:t>
      </w:r>
    </w:p>
    <w:p w14:paraId="5C76D131" w14:textId="383EB5ED" w:rsidR="00030397" w:rsidRPr="00030397" w:rsidRDefault="00030397" w:rsidP="00030397">
      <w:pPr>
        <w:pStyle w:val="Listenabsatz"/>
        <w:numPr>
          <w:ilvl w:val="0"/>
          <w:numId w:val="16"/>
        </w:numPr>
        <w:spacing w:after="120"/>
        <w:rPr>
          <w:rFonts w:asciiTheme="minorHAnsi" w:eastAsiaTheme="minorHAnsi" w:hAnsiTheme="minorHAnsi" w:cstheme="minorHAnsi"/>
          <w:bCs/>
        </w:rPr>
      </w:pPr>
      <w:r w:rsidRPr="00030397">
        <w:rPr>
          <w:rFonts w:asciiTheme="minorHAnsi" w:eastAsiaTheme="minorHAnsi" w:hAnsiTheme="minorHAnsi" w:cstheme="minorHAnsi"/>
          <w:bCs/>
        </w:rPr>
        <w:t xml:space="preserve">Abblasen und Spritzen eine Korrelation von 88 </w:t>
      </w:r>
      <w:r w:rsidR="00C52AFC">
        <w:rPr>
          <w:rFonts w:asciiTheme="minorHAnsi" w:eastAsiaTheme="minorHAnsi" w:hAnsiTheme="minorHAnsi" w:cstheme="minorHAnsi"/>
          <w:bCs/>
        </w:rPr>
        <w:t>bis</w:t>
      </w:r>
      <w:r w:rsidRPr="00030397">
        <w:rPr>
          <w:rFonts w:asciiTheme="minorHAnsi" w:eastAsiaTheme="minorHAnsi" w:hAnsiTheme="minorHAnsi" w:cstheme="minorHAnsi"/>
          <w:bCs/>
        </w:rPr>
        <w:t xml:space="preserve"> 96 % und mittlere rel. Abweichung von -24%</w:t>
      </w:r>
    </w:p>
    <w:p w14:paraId="5544224F" w14:textId="0976FF4C" w:rsidR="00030397" w:rsidRPr="00030397" w:rsidRDefault="00030397" w:rsidP="00030397">
      <w:pPr>
        <w:pStyle w:val="Listenabsatz"/>
        <w:numPr>
          <w:ilvl w:val="0"/>
          <w:numId w:val="16"/>
        </w:numPr>
        <w:spacing w:after="120"/>
        <w:rPr>
          <w:rFonts w:asciiTheme="minorHAnsi" w:eastAsiaTheme="minorHAnsi" w:hAnsiTheme="minorHAnsi" w:cstheme="minorHAnsi"/>
          <w:bCs/>
        </w:rPr>
      </w:pPr>
      <w:r w:rsidRPr="00030397">
        <w:rPr>
          <w:rFonts w:asciiTheme="minorHAnsi" w:eastAsiaTheme="minorHAnsi" w:hAnsiTheme="minorHAnsi" w:cstheme="minorHAnsi"/>
          <w:bCs/>
        </w:rPr>
        <w:t xml:space="preserve">Absaugen und Abblasen eine Korrelation von 97 </w:t>
      </w:r>
      <w:r w:rsidR="00C52AFC">
        <w:rPr>
          <w:rFonts w:asciiTheme="minorHAnsi" w:eastAsiaTheme="minorHAnsi" w:hAnsiTheme="minorHAnsi" w:cstheme="minorHAnsi"/>
          <w:bCs/>
        </w:rPr>
        <w:t>bis</w:t>
      </w:r>
      <w:r w:rsidRPr="00030397">
        <w:rPr>
          <w:rFonts w:asciiTheme="minorHAnsi" w:eastAsiaTheme="minorHAnsi" w:hAnsiTheme="minorHAnsi" w:cstheme="minorHAnsi"/>
          <w:bCs/>
        </w:rPr>
        <w:t xml:space="preserve"> 99 % und mittlere rel. Abweichung von</w:t>
      </w:r>
      <w:r w:rsidR="00C52AFC">
        <w:rPr>
          <w:rFonts w:asciiTheme="minorHAnsi" w:eastAsiaTheme="minorHAnsi" w:hAnsiTheme="minorHAnsi" w:cstheme="minorHAnsi"/>
          <w:bCs/>
        </w:rPr>
        <w:t xml:space="preserve"> </w:t>
      </w:r>
      <w:r w:rsidRPr="00030397">
        <w:rPr>
          <w:rFonts w:asciiTheme="minorHAnsi" w:eastAsiaTheme="minorHAnsi" w:hAnsiTheme="minorHAnsi" w:cstheme="minorHAnsi"/>
          <w:bCs/>
        </w:rPr>
        <w:t>+34%</w:t>
      </w:r>
    </w:p>
    <w:p w14:paraId="31E524EA" w14:textId="0C2F1BC4" w:rsidR="00030397" w:rsidRPr="00030397" w:rsidRDefault="00030397" w:rsidP="00030397">
      <w:pPr>
        <w:pStyle w:val="Listenabsatz"/>
        <w:numPr>
          <w:ilvl w:val="0"/>
          <w:numId w:val="16"/>
        </w:numPr>
        <w:spacing w:after="120"/>
        <w:rPr>
          <w:rFonts w:asciiTheme="minorHAnsi" w:eastAsiaTheme="minorHAnsi" w:hAnsiTheme="minorHAnsi" w:cstheme="minorHAnsi"/>
          <w:bCs/>
        </w:rPr>
      </w:pPr>
      <w:r w:rsidRPr="00030397">
        <w:rPr>
          <w:rFonts w:asciiTheme="minorHAnsi" w:eastAsiaTheme="minorHAnsi" w:hAnsiTheme="minorHAnsi" w:cstheme="minorHAnsi"/>
          <w:bCs/>
        </w:rPr>
        <w:t xml:space="preserve">Absaugen und Spritzen eine Korrelation von 96 </w:t>
      </w:r>
      <w:r w:rsidR="00C52AFC">
        <w:rPr>
          <w:rFonts w:asciiTheme="minorHAnsi" w:eastAsiaTheme="minorHAnsi" w:hAnsiTheme="minorHAnsi" w:cstheme="minorHAnsi"/>
          <w:bCs/>
        </w:rPr>
        <w:t>bis</w:t>
      </w:r>
      <w:r w:rsidRPr="00030397">
        <w:rPr>
          <w:rFonts w:asciiTheme="minorHAnsi" w:eastAsiaTheme="minorHAnsi" w:hAnsiTheme="minorHAnsi" w:cstheme="minorHAnsi"/>
          <w:bCs/>
        </w:rPr>
        <w:t xml:space="preserve"> 98 % und mittlere rel. Abweichung von -1%. </w:t>
      </w:r>
    </w:p>
    <w:p w14:paraId="3EC5F448" w14:textId="2E88F06E" w:rsidR="00030397" w:rsidRPr="00030397" w:rsidRDefault="00030397" w:rsidP="00030397">
      <w:pPr>
        <w:spacing w:after="120"/>
        <w:rPr>
          <w:rFonts w:asciiTheme="minorHAnsi" w:eastAsiaTheme="minorHAnsi" w:hAnsiTheme="minorHAnsi" w:cstheme="minorHAnsi"/>
          <w:bCs/>
          <w:sz w:val="22"/>
          <w:szCs w:val="22"/>
        </w:rPr>
      </w:pPr>
    </w:p>
    <w:p w14:paraId="02E37E53" w14:textId="1D8CBFF6" w:rsidR="00030397" w:rsidRPr="00030397" w:rsidRDefault="00030397" w:rsidP="00030397">
      <w:pPr>
        <w:spacing w:after="120"/>
        <w:rPr>
          <w:rFonts w:asciiTheme="minorHAnsi" w:eastAsiaTheme="minorHAnsi" w:hAnsiTheme="minorHAnsi" w:cstheme="minorHAnsi"/>
          <w:b/>
          <w:sz w:val="22"/>
          <w:szCs w:val="22"/>
          <w:lang w:eastAsia="en-US"/>
        </w:rPr>
      </w:pPr>
      <w:r w:rsidRPr="00030397">
        <w:rPr>
          <w:rFonts w:asciiTheme="minorHAnsi" w:eastAsiaTheme="minorHAnsi" w:hAnsiTheme="minorHAnsi" w:cstheme="minorHAnsi"/>
          <w:b/>
          <w:sz w:val="22"/>
          <w:szCs w:val="22"/>
          <w:lang w:eastAsia="en-US"/>
        </w:rPr>
        <w:t>Fazit der Studie</w:t>
      </w:r>
    </w:p>
    <w:p w14:paraId="708E87AB" w14:textId="4200F069" w:rsidR="00030397" w:rsidRPr="00030397" w:rsidRDefault="00030397" w:rsidP="00030397">
      <w:pPr>
        <w:spacing w:after="120"/>
        <w:rPr>
          <w:rFonts w:asciiTheme="minorHAnsi" w:eastAsiaTheme="minorHAnsi" w:hAnsiTheme="minorHAnsi" w:cstheme="minorHAnsi"/>
          <w:bCs/>
          <w:sz w:val="22"/>
          <w:szCs w:val="22"/>
        </w:rPr>
      </w:pPr>
      <w:r w:rsidRPr="00030397">
        <w:rPr>
          <w:rFonts w:asciiTheme="minorHAnsi" w:eastAsiaTheme="minorHAnsi" w:hAnsiTheme="minorHAnsi" w:cstheme="minorHAnsi"/>
          <w:bCs/>
          <w:sz w:val="22"/>
          <w:szCs w:val="22"/>
        </w:rPr>
        <w:t>Alle Extraktionsverfahren sind für die Bestimmung der Oberflächensauberkeit von elektronischen Bauteilen geeignet und vergleichbar. Zum einen aufgrund der zuverlässigen Extraktion der größten Partikel und zum anderen aufgrund der guten Korrelation zwischen den Verfahren. </w:t>
      </w:r>
    </w:p>
    <w:p w14:paraId="7F5AC48E" w14:textId="7A57FC7E" w:rsidR="00295A8F" w:rsidRPr="00CA1F1F" w:rsidRDefault="00295A8F" w:rsidP="00CA1F1F">
      <w:pPr>
        <w:spacing w:after="120"/>
        <w:rPr>
          <w:rFonts w:asciiTheme="minorHAnsi" w:eastAsiaTheme="minorHAnsi" w:hAnsiTheme="minorHAnsi" w:cstheme="minorHAnsi"/>
          <w:bCs/>
          <w:sz w:val="22"/>
          <w:szCs w:val="22"/>
          <w:lang w:eastAsia="en-US"/>
        </w:rPr>
      </w:pPr>
    </w:p>
    <w:p w14:paraId="6E25FEB3" w14:textId="2B9A4ACE" w:rsidR="002D65E5" w:rsidRPr="00CA1F1F" w:rsidRDefault="00DE4410" w:rsidP="00CA1F1F">
      <w:pPr>
        <w:spacing w:after="120"/>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C|PS³apex - neueste Generation des Partikel-Saugextraktionssystems</w:t>
      </w:r>
    </w:p>
    <w:p w14:paraId="5AB67812" w14:textId="3913BB0B" w:rsidR="0050106D" w:rsidRPr="00CA1F1F" w:rsidRDefault="0020118C" w:rsidP="00CA1F1F">
      <w:pPr>
        <w:spacing w:after="120"/>
        <w:rPr>
          <w:rFonts w:asciiTheme="minorHAnsi" w:eastAsiaTheme="minorHAnsi" w:hAnsiTheme="minorHAnsi" w:cstheme="minorHAnsi"/>
          <w:bCs/>
          <w:sz w:val="22"/>
          <w:szCs w:val="22"/>
          <w:lang w:eastAsia="en-US"/>
        </w:rPr>
      </w:pPr>
      <w:r>
        <w:rPr>
          <w:rFonts w:asciiTheme="minorHAnsi" w:eastAsiaTheme="minorHAnsi" w:hAnsiTheme="minorHAnsi" w:cstheme="minorHAnsi"/>
          <w:bCs/>
          <w:noProof/>
          <w:sz w:val="22"/>
          <w:szCs w:val="22"/>
          <w:lang w:eastAsia="en-US"/>
        </w:rPr>
        <w:drawing>
          <wp:anchor distT="0" distB="0" distL="114300" distR="114300" simplePos="0" relativeHeight="251663360" behindDoc="0" locked="0" layoutInCell="1" allowOverlap="1" wp14:anchorId="6BDDA41F" wp14:editId="79EC25E2">
            <wp:simplePos x="0" y="0"/>
            <wp:positionH relativeFrom="column">
              <wp:posOffset>4131945</wp:posOffset>
            </wp:positionH>
            <wp:positionV relativeFrom="paragraph">
              <wp:posOffset>702310</wp:posOffset>
            </wp:positionV>
            <wp:extent cx="2065020" cy="2931160"/>
            <wp:effectExtent l="0" t="0" r="0" b="2540"/>
            <wp:wrapSquare wrapText="bothSides"/>
            <wp:docPr id="7" name="Grafik 7" descr="Ein Bild, das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Whiteboar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5020" cy="2931160"/>
                    </a:xfrm>
                    <a:prstGeom prst="rect">
                      <a:avLst/>
                    </a:prstGeom>
                  </pic:spPr>
                </pic:pic>
              </a:graphicData>
            </a:graphic>
            <wp14:sizeRelH relativeFrom="margin">
              <wp14:pctWidth>0</wp14:pctWidth>
            </wp14:sizeRelH>
            <wp14:sizeRelV relativeFrom="margin">
              <wp14:pctHeight>0</wp14:pctHeight>
            </wp14:sizeRelV>
          </wp:anchor>
        </w:drawing>
      </w:r>
      <w:r w:rsidR="002D65E5" w:rsidRPr="00CA1F1F">
        <w:rPr>
          <w:rFonts w:asciiTheme="minorHAnsi" w:eastAsiaTheme="minorHAnsi" w:hAnsiTheme="minorHAnsi" w:cstheme="minorHAnsi"/>
          <w:bCs/>
          <w:sz w:val="22"/>
          <w:szCs w:val="22"/>
          <w:lang w:eastAsia="en-US"/>
        </w:rPr>
        <w:t>Neu ist das Saugextraktionssystem C|PS³apex als grundlegende Neuentwicklung unter Berücksichtigung aller Anwender-Erfahrungen</w:t>
      </w:r>
      <w:r w:rsidR="00DE4410" w:rsidRPr="00CA1F1F">
        <w:rPr>
          <w:rFonts w:asciiTheme="minorHAnsi" w:eastAsiaTheme="minorHAnsi" w:hAnsiTheme="minorHAnsi" w:cstheme="minorHAnsi"/>
          <w:bCs/>
          <w:sz w:val="22"/>
          <w:szCs w:val="22"/>
          <w:lang w:eastAsia="en-US"/>
        </w:rPr>
        <w:t xml:space="preserve"> der vergangenen Jahre</w:t>
      </w:r>
      <w:r w:rsidR="002D65E5" w:rsidRPr="00CA1F1F">
        <w:rPr>
          <w:rFonts w:asciiTheme="minorHAnsi" w:eastAsiaTheme="minorHAnsi" w:hAnsiTheme="minorHAnsi" w:cstheme="minorHAnsi"/>
          <w:bCs/>
          <w:sz w:val="22"/>
          <w:szCs w:val="22"/>
          <w:lang w:eastAsia="en-US"/>
        </w:rPr>
        <w:t xml:space="preserve"> mit dem bisherigen Partikelsaugextraktionssystem</w:t>
      </w:r>
      <w:r w:rsidR="001238BB" w:rsidRPr="00CA1F1F">
        <w:rPr>
          <w:rFonts w:asciiTheme="minorHAnsi" w:eastAsiaTheme="minorHAnsi" w:hAnsiTheme="minorHAnsi" w:cstheme="minorHAnsi"/>
          <w:bCs/>
          <w:sz w:val="22"/>
          <w:szCs w:val="22"/>
          <w:lang w:eastAsia="en-US"/>
        </w:rPr>
        <w:t xml:space="preserve"> C|PS²</w:t>
      </w:r>
      <w:r w:rsidR="002D65E5" w:rsidRPr="00CA1F1F">
        <w:rPr>
          <w:rFonts w:asciiTheme="minorHAnsi" w:eastAsiaTheme="minorHAnsi" w:hAnsiTheme="minorHAnsi" w:cstheme="minorHAnsi"/>
          <w:bCs/>
          <w:sz w:val="22"/>
          <w:szCs w:val="22"/>
          <w:lang w:eastAsia="en-US"/>
        </w:rPr>
        <w:t xml:space="preserve"> von CleanControlling. Neben dem kompletten</w:t>
      </w:r>
      <w:r w:rsidR="00DE4410" w:rsidRPr="00CA1F1F">
        <w:rPr>
          <w:rFonts w:asciiTheme="minorHAnsi" w:eastAsiaTheme="minorHAnsi" w:hAnsiTheme="minorHAnsi" w:cstheme="minorHAnsi"/>
          <w:bCs/>
          <w:sz w:val="22"/>
          <w:szCs w:val="22"/>
          <w:lang w:eastAsia="en-US"/>
        </w:rPr>
        <w:t xml:space="preserve"> </w:t>
      </w:r>
      <w:r w:rsidR="0050106D" w:rsidRPr="00CA1F1F">
        <w:rPr>
          <w:rFonts w:asciiTheme="minorHAnsi" w:eastAsiaTheme="minorHAnsi" w:hAnsiTheme="minorHAnsi" w:cstheme="minorHAnsi"/>
          <w:bCs/>
          <w:sz w:val="22"/>
          <w:szCs w:val="22"/>
          <w:lang w:eastAsia="en-US"/>
        </w:rPr>
        <w:t xml:space="preserve">ergonomischen </w:t>
      </w:r>
      <w:proofErr w:type="spellStart"/>
      <w:r w:rsidR="0050106D" w:rsidRPr="00CA1F1F">
        <w:rPr>
          <w:rFonts w:asciiTheme="minorHAnsi" w:eastAsiaTheme="minorHAnsi" w:hAnsiTheme="minorHAnsi" w:cstheme="minorHAnsi"/>
          <w:bCs/>
          <w:sz w:val="22"/>
          <w:szCs w:val="22"/>
          <w:lang w:eastAsia="en-US"/>
        </w:rPr>
        <w:t>Redesign</w:t>
      </w:r>
      <w:proofErr w:type="spellEnd"/>
      <w:r w:rsidR="002D65E5" w:rsidRPr="00CA1F1F">
        <w:rPr>
          <w:rFonts w:asciiTheme="minorHAnsi" w:eastAsiaTheme="minorHAnsi" w:hAnsiTheme="minorHAnsi" w:cstheme="minorHAnsi"/>
          <w:bCs/>
          <w:sz w:val="22"/>
          <w:szCs w:val="22"/>
          <w:lang w:eastAsia="en-US"/>
        </w:rPr>
        <w:t xml:space="preserve"> des gesamten </w:t>
      </w:r>
      <w:r w:rsidR="001238BB" w:rsidRPr="00CA1F1F">
        <w:rPr>
          <w:rFonts w:asciiTheme="minorHAnsi" w:eastAsiaTheme="minorHAnsi" w:hAnsiTheme="minorHAnsi" w:cstheme="minorHAnsi"/>
          <w:bCs/>
          <w:sz w:val="22"/>
          <w:szCs w:val="22"/>
          <w:lang w:eastAsia="en-US"/>
        </w:rPr>
        <w:t>konstruktiven Aufbaus unterstützt</w:t>
      </w:r>
      <w:r w:rsidR="002D65E5" w:rsidRPr="00CA1F1F">
        <w:rPr>
          <w:rFonts w:asciiTheme="minorHAnsi" w:eastAsiaTheme="minorHAnsi" w:hAnsiTheme="minorHAnsi" w:cstheme="minorHAnsi"/>
          <w:bCs/>
          <w:sz w:val="22"/>
          <w:szCs w:val="22"/>
          <w:lang w:eastAsia="en-US"/>
        </w:rPr>
        <w:t xml:space="preserve"> insbesondere die </w:t>
      </w:r>
      <w:r w:rsidR="00071E33" w:rsidRPr="00CA1F1F">
        <w:rPr>
          <w:rFonts w:asciiTheme="minorHAnsi" w:eastAsiaTheme="minorHAnsi" w:hAnsiTheme="minorHAnsi" w:cstheme="minorHAnsi"/>
          <w:bCs/>
          <w:sz w:val="22"/>
          <w:szCs w:val="22"/>
          <w:lang w:eastAsia="en-US"/>
        </w:rPr>
        <w:t xml:space="preserve">benutzerfreundliche Navigation </w:t>
      </w:r>
      <w:r w:rsidR="001238BB" w:rsidRPr="00CA1F1F">
        <w:rPr>
          <w:rFonts w:asciiTheme="minorHAnsi" w:eastAsiaTheme="minorHAnsi" w:hAnsiTheme="minorHAnsi" w:cstheme="minorHAnsi"/>
          <w:bCs/>
          <w:sz w:val="22"/>
          <w:szCs w:val="22"/>
          <w:lang w:eastAsia="en-US"/>
        </w:rPr>
        <w:t xml:space="preserve">mit Sprachansagen </w:t>
      </w:r>
      <w:r w:rsidR="00071E33" w:rsidRPr="00CA1F1F">
        <w:rPr>
          <w:rFonts w:asciiTheme="minorHAnsi" w:eastAsiaTheme="minorHAnsi" w:hAnsiTheme="minorHAnsi" w:cstheme="minorHAnsi"/>
          <w:bCs/>
          <w:sz w:val="22"/>
          <w:szCs w:val="22"/>
          <w:lang w:eastAsia="en-US"/>
        </w:rPr>
        <w:t>durch den frei programmierbaren Prüfablauf</w:t>
      </w:r>
      <w:r w:rsidR="002D65E5" w:rsidRPr="00CA1F1F">
        <w:rPr>
          <w:rFonts w:asciiTheme="minorHAnsi" w:eastAsiaTheme="minorHAnsi" w:hAnsiTheme="minorHAnsi" w:cstheme="minorHAnsi"/>
          <w:bCs/>
          <w:sz w:val="22"/>
          <w:szCs w:val="22"/>
          <w:lang w:eastAsia="en-US"/>
        </w:rPr>
        <w:t xml:space="preserve"> die Sicherstellung reproduzierbarer Sauberkeitsprüfungen.</w:t>
      </w:r>
      <w:r w:rsidR="00071E33" w:rsidRPr="00CA1F1F">
        <w:rPr>
          <w:rFonts w:asciiTheme="minorHAnsi" w:eastAsiaTheme="minorHAnsi" w:hAnsiTheme="minorHAnsi" w:cstheme="minorHAnsi"/>
          <w:bCs/>
          <w:sz w:val="22"/>
          <w:szCs w:val="22"/>
          <w:lang w:eastAsia="en-US"/>
        </w:rPr>
        <w:t xml:space="preserve"> Hierfür verfügt das Saugextraktionssystem über eine moderne digitale Steuerung zur Speicherung von Analyseparametern und zur visuellen Unterstützung durch Bildschirmanzeige der Prüfabläufe. </w:t>
      </w:r>
      <w:r w:rsidR="002E4EC6" w:rsidRPr="00CA1F1F">
        <w:rPr>
          <w:rFonts w:asciiTheme="minorHAnsi" w:eastAsiaTheme="minorHAnsi" w:hAnsiTheme="minorHAnsi" w:cstheme="minorHAnsi"/>
          <w:bCs/>
          <w:sz w:val="22"/>
          <w:szCs w:val="22"/>
          <w:lang w:eastAsia="en-US"/>
        </w:rPr>
        <w:t xml:space="preserve">Die Überwachung der Prüfparameter umfasst eine vollständig integrierte </w:t>
      </w:r>
      <w:r w:rsidR="0050106D" w:rsidRPr="00CA1F1F">
        <w:rPr>
          <w:rFonts w:asciiTheme="minorHAnsi" w:eastAsiaTheme="minorHAnsi" w:hAnsiTheme="minorHAnsi" w:cstheme="minorHAnsi"/>
          <w:bCs/>
          <w:sz w:val="22"/>
          <w:szCs w:val="22"/>
          <w:lang w:eastAsia="en-US"/>
        </w:rPr>
        <w:t>Überwachung</w:t>
      </w:r>
      <w:r w:rsidR="00DD5BF1" w:rsidRPr="00CA1F1F">
        <w:rPr>
          <w:rFonts w:asciiTheme="minorHAnsi" w:eastAsiaTheme="minorHAnsi" w:hAnsiTheme="minorHAnsi" w:cstheme="minorHAnsi"/>
          <w:bCs/>
          <w:sz w:val="22"/>
          <w:szCs w:val="22"/>
          <w:lang w:eastAsia="en-US"/>
        </w:rPr>
        <w:t xml:space="preserve"> des </w:t>
      </w:r>
      <w:r w:rsidR="002E4EC6" w:rsidRPr="00CA1F1F">
        <w:rPr>
          <w:rFonts w:asciiTheme="minorHAnsi" w:eastAsiaTheme="minorHAnsi" w:hAnsiTheme="minorHAnsi" w:cstheme="minorHAnsi"/>
          <w:bCs/>
          <w:sz w:val="22"/>
          <w:szCs w:val="22"/>
          <w:lang w:eastAsia="en-US"/>
        </w:rPr>
        <w:t>Volumenstrom</w:t>
      </w:r>
      <w:r w:rsidR="00DD5BF1" w:rsidRPr="00CA1F1F">
        <w:rPr>
          <w:rFonts w:asciiTheme="minorHAnsi" w:eastAsiaTheme="minorHAnsi" w:hAnsiTheme="minorHAnsi" w:cstheme="minorHAnsi"/>
          <w:bCs/>
          <w:sz w:val="22"/>
          <w:szCs w:val="22"/>
          <w:lang w:eastAsia="en-US"/>
        </w:rPr>
        <w:t xml:space="preserve">s während der Saugextraktion. </w:t>
      </w:r>
    </w:p>
    <w:p w14:paraId="39A149AA" w14:textId="7D4CC37E" w:rsidR="0050106D" w:rsidRPr="00CA1F1F" w:rsidRDefault="001238BB"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Besondere</w:t>
      </w:r>
      <w:r w:rsidR="008043BD" w:rsidRPr="00CA1F1F">
        <w:rPr>
          <w:rFonts w:asciiTheme="minorHAnsi" w:eastAsiaTheme="minorHAnsi" w:hAnsiTheme="minorHAnsi" w:cstheme="minorHAnsi"/>
          <w:bCs/>
          <w:sz w:val="22"/>
          <w:szCs w:val="22"/>
          <w:lang w:eastAsia="en-US"/>
        </w:rPr>
        <w:t xml:space="preserve"> </w:t>
      </w:r>
      <w:r w:rsidRPr="00CA1F1F">
        <w:rPr>
          <w:rFonts w:asciiTheme="minorHAnsi" w:eastAsiaTheme="minorHAnsi" w:hAnsiTheme="minorHAnsi" w:cstheme="minorHAnsi"/>
          <w:bCs/>
          <w:sz w:val="22"/>
          <w:szCs w:val="22"/>
          <w:lang w:eastAsia="en-US"/>
        </w:rPr>
        <w:t xml:space="preserve">Merkmale sind </w:t>
      </w:r>
      <w:r w:rsidR="0050106D" w:rsidRPr="00CA1F1F">
        <w:rPr>
          <w:rFonts w:asciiTheme="minorHAnsi" w:eastAsiaTheme="minorHAnsi" w:hAnsiTheme="minorHAnsi" w:cstheme="minorHAnsi"/>
          <w:bCs/>
          <w:sz w:val="22"/>
          <w:szCs w:val="22"/>
          <w:lang w:eastAsia="en-US"/>
        </w:rPr>
        <w:t>außerdem</w:t>
      </w:r>
      <w:r w:rsidRPr="00CA1F1F">
        <w:rPr>
          <w:rFonts w:asciiTheme="minorHAnsi" w:eastAsiaTheme="minorHAnsi" w:hAnsiTheme="minorHAnsi" w:cstheme="minorHAnsi"/>
          <w:bCs/>
          <w:sz w:val="22"/>
          <w:szCs w:val="22"/>
          <w:lang w:eastAsia="en-US"/>
        </w:rPr>
        <w:t xml:space="preserve"> </w:t>
      </w:r>
      <w:r w:rsidR="008043BD" w:rsidRPr="00CA1F1F">
        <w:rPr>
          <w:rFonts w:asciiTheme="minorHAnsi" w:eastAsiaTheme="minorHAnsi" w:hAnsiTheme="minorHAnsi" w:cstheme="minorHAnsi"/>
          <w:bCs/>
          <w:sz w:val="22"/>
          <w:szCs w:val="22"/>
          <w:lang w:eastAsia="en-US"/>
        </w:rPr>
        <w:t>die ergonomische</w:t>
      </w:r>
      <w:r w:rsidRPr="00CA1F1F">
        <w:rPr>
          <w:rFonts w:asciiTheme="minorHAnsi" w:eastAsiaTheme="minorHAnsi" w:hAnsiTheme="minorHAnsi" w:cstheme="minorHAnsi"/>
          <w:bCs/>
          <w:sz w:val="22"/>
          <w:szCs w:val="22"/>
          <w:lang w:eastAsia="en-US"/>
        </w:rPr>
        <w:t xml:space="preserve"> Schnellspann</w:t>
      </w:r>
      <w:r w:rsidR="008043BD" w:rsidRPr="00CA1F1F">
        <w:rPr>
          <w:rFonts w:asciiTheme="minorHAnsi" w:eastAsiaTheme="minorHAnsi" w:hAnsiTheme="minorHAnsi" w:cstheme="minorHAnsi"/>
          <w:bCs/>
          <w:sz w:val="22"/>
          <w:szCs w:val="22"/>
          <w:lang w:eastAsia="en-US"/>
        </w:rPr>
        <w:t>vorrichtung für die Filterspannstelle, Halterungen für Düsen und Saugschlauch sowie erweiterter Funktionsumfang für die Partikelabscheidung.</w:t>
      </w:r>
    </w:p>
    <w:p w14:paraId="03C2AFB6" w14:textId="31203BF3" w:rsidR="009576F9" w:rsidRDefault="009576F9" w:rsidP="00CA1F1F">
      <w:pPr>
        <w:spacing w:after="120"/>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Cs/>
          <w:sz w:val="22"/>
          <w:szCs w:val="22"/>
          <w:lang w:eastAsia="en-US"/>
        </w:rPr>
        <w:t>Selbstverständlich ist d</w:t>
      </w:r>
      <w:r w:rsidR="0050106D" w:rsidRPr="00CA1F1F">
        <w:rPr>
          <w:rFonts w:asciiTheme="minorHAnsi" w:eastAsiaTheme="minorHAnsi" w:hAnsiTheme="minorHAnsi" w:cstheme="minorHAnsi"/>
          <w:bCs/>
          <w:sz w:val="22"/>
          <w:szCs w:val="22"/>
          <w:lang w:eastAsia="en-US"/>
        </w:rPr>
        <w:t>as System ist grundsätzlich ESD-konform aufgebaut und erlaubt</w:t>
      </w:r>
      <w:r w:rsidRPr="00CA1F1F">
        <w:rPr>
          <w:rFonts w:asciiTheme="minorHAnsi" w:eastAsiaTheme="minorHAnsi" w:hAnsiTheme="minorHAnsi" w:cstheme="minorHAnsi"/>
          <w:bCs/>
          <w:sz w:val="22"/>
          <w:szCs w:val="22"/>
          <w:lang w:eastAsia="en-US"/>
        </w:rPr>
        <w:t xml:space="preserve"> somit</w:t>
      </w:r>
      <w:r w:rsidR="0050106D" w:rsidRPr="00CA1F1F">
        <w:rPr>
          <w:rFonts w:asciiTheme="minorHAnsi" w:eastAsiaTheme="minorHAnsi" w:hAnsiTheme="minorHAnsi" w:cstheme="minorHAnsi"/>
          <w:bCs/>
          <w:sz w:val="22"/>
          <w:szCs w:val="22"/>
          <w:lang w:eastAsia="en-US"/>
        </w:rPr>
        <w:t xml:space="preserve"> den Einsatz in ESD-Bereichen oder zur Prüfung von ESD-sensiblen Bauteilen</w:t>
      </w:r>
      <w:r w:rsidRPr="00CA1F1F">
        <w:rPr>
          <w:rFonts w:asciiTheme="minorHAnsi" w:eastAsiaTheme="minorHAnsi" w:hAnsiTheme="minorHAnsi" w:cstheme="minorHAnsi"/>
          <w:bCs/>
          <w:sz w:val="22"/>
          <w:szCs w:val="22"/>
          <w:lang w:eastAsia="en-US"/>
        </w:rPr>
        <w:t>, was insbesondere im Produktionsumfeld von Bauteilen für die E-Mobilität von Bedeutung ist. In Verbindung mit der Steuerung ist diese ESD-Konformität eine wichtige Basis für automatisier Roboter-Anwendungen für Inline-Prüfungen.</w:t>
      </w:r>
    </w:p>
    <w:p w14:paraId="76E8E10D" w14:textId="77777777" w:rsidR="00ED2244" w:rsidRPr="00CA1F1F" w:rsidRDefault="00ED2244" w:rsidP="00CA1F1F">
      <w:pPr>
        <w:pBdr>
          <w:bottom w:val="single" w:sz="4" w:space="1" w:color="auto"/>
        </w:pBdr>
        <w:spacing w:after="120"/>
        <w:rPr>
          <w:rFonts w:asciiTheme="minorHAnsi" w:eastAsiaTheme="minorHAnsi" w:hAnsiTheme="minorHAnsi" w:cstheme="minorHAnsi"/>
          <w:bCs/>
          <w:sz w:val="22"/>
          <w:szCs w:val="22"/>
          <w:lang w:eastAsia="en-US"/>
        </w:rPr>
      </w:pPr>
    </w:p>
    <w:p w14:paraId="1F8945FD" w14:textId="1EB718ED" w:rsidR="009576F9" w:rsidRPr="00CA1F1F" w:rsidRDefault="009576F9" w:rsidP="00CA1F1F">
      <w:pPr>
        <w:spacing w:line="360" w:lineRule="auto"/>
        <w:rPr>
          <w:rFonts w:asciiTheme="minorHAnsi" w:eastAsiaTheme="minorHAnsi" w:hAnsiTheme="minorHAnsi" w:cstheme="minorHAnsi"/>
          <w:bCs/>
          <w:sz w:val="22"/>
          <w:szCs w:val="22"/>
          <w:lang w:eastAsia="en-US"/>
        </w:rPr>
      </w:pPr>
    </w:p>
    <w:p w14:paraId="2D3A0CCB" w14:textId="304F4463" w:rsidR="00CA1F1F" w:rsidRDefault="00CA1F1F" w:rsidP="00CA1F1F">
      <w:pPr>
        <w:spacing w:after="120"/>
        <w:rPr>
          <w:rFonts w:asciiTheme="minorHAnsi" w:eastAsiaTheme="minorHAnsi" w:hAnsiTheme="minorHAnsi" w:cstheme="minorHAnsi"/>
          <w:bCs/>
          <w:sz w:val="22"/>
          <w:szCs w:val="22"/>
          <w:lang w:eastAsia="en-US"/>
        </w:rPr>
      </w:pPr>
    </w:p>
    <w:p w14:paraId="04A07D91" w14:textId="378DBA45" w:rsidR="00CA1F1F" w:rsidRPr="00A85553" w:rsidRDefault="00CA1F1F" w:rsidP="00CA1F1F">
      <w:pPr>
        <w:spacing w:after="120"/>
        <w:rPr>
          <w:rFonts w:asciiTheme="minorHAnsi" w:eastAsiaTheme="minorHAnsi" w:hAnsiTheme="minorHAnsi" w:cstheme="minorHAnsi"/>
          <w:b/>
          <w:sz w:val="22"/>
          <w:szCs w:val="22"/>
          <w:lang w:eastAsia="en-US"/>
        </w:rPr>
      </w:pPr>
      <w:r w:rsidRPr="00A85553">
        <w:rPr>
          <w:rFonts w:asciiTheme="minorHAnsi" w:eastAsiaTheme="minorHAnsi" w:hAnsiTheme="minorHAnsi" w:cstheme="minorHAnsi"/>
          <w:b/>
          <w:sz w:val="22"/>
          <w:szCs w:val="22"/>
          <w:lang w:eastAsia="en-US"/>
        </w:rPr>
        <w:t>Nicht zur Veröffentlichung:</w:t>
      </w:r>
    </w:p>
    <w:p w14:paraId="532FC65A" w14:textId="6AD94A00" w:rsidR="009E3671" w:rsidRDefault="009E3671" w:rsidP="00CA1F1F">
      <w:pPr>
        <w:spacing w:after="120"/>
        <w:rPr>
          <w:rFonts w:asciiTheme="minorHAnsi" w:eastAsiaTheme="minorHAnsi" w:hAnsiTheme="minorHAnsi" w:cstheme="minorHAnsi"/>
          <w:bCs/>
          <w:sz w:val="22"/>
          <w:szCs w:val="22"/>
          <w:lang w:eastAsia="en-US"/>
        </w:rPr>
      </w:pPr>
    </w:p>
    <w:p w14:paraId="2CF8E401" w14:textId="77777777" w:rsidR="009E3671" w:rsidRPr="00CA1F1F" w:rsidRDefault="009E3671" w:rsidP="00CA1F1F">
      <w:pPr>
        <w:spacing w:after="120"/>
        <w:rPr>
          <w:rFonts w:asciiTheme="minorHAnsi" w:eastAsiaTheme="minorHAnsi" w:hAnsiTheme="minorHAnsi" w:cstheme="minorHAnsi"/>
          <w:bCs/>
          <w:sz w:val="22"/>
          <w:szCs w:val="22"/>
          <w:lang w:eastAsia="en-US"/>
        </w:rPr>
      </w:pPr>
    </w:p>
    <w:p w14:paraId="1BFDCD90" w14:textId="77777777" w:rsidR="00CA1F1F" w:rsidRPr="00CA1F1F" w:rsidRDefault="00CA1F1F" w:rsidP="00CA1F1F">
      <w:pPr>
        <w:spacing w:after="120"/>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Cs/>
          <w:sz w:val="22"/>
          <w:szCs w:val="22"/>
          <w:lang w:eastAsia="en-US"/>
        </w:rPr>
        <w:t xml:space="preserve">Wir freuen uns auf die Zusendung eines Belegexemplars bzw. Veröffentlichungslinks. Vielen Dank im Voraus. </w:t>
      </w:r>
    </w:p>
    <w:p w14:paraId="72C3D564" w14:textId="0F47A5F1" w:rsidR="00CA1F1F" w:rsidRPr="00CA1F1F" w:rsidRDefault="00CA1F1F" w:rsidP="00CA1F1F">
      <w:pPr>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 xml:space="preserve">Anzahl der Zeichen (mit Leerzeichen): </w:t>
      </w:r>
      <w:r w:rsidR="009E3671">
        <w:rPr>
          <w:rFonts w:asciiTheme="minorHAnsi" w:eastAsiaTheme="minorHAnsi" w:hAnsiTheme="minorHAnsi" w:cstheme="minorHAnsi"/>
          <w:b/>
          <w:sz w:val="22"/>
          <w:szCs w:val="22"/>
          <w:lang w:eastAsia="en-US"/>
        </w:rPr>
        <w:t>5.556</w:t>
      </w:r>
    </w:p>
    <w:p w14:paraId="5DDE537D" w14:textId="77777777" w:rsidR="00CA1F1F" w:rsidRPr="00CA1F1F" w:rsidRDefault="00CA1F1F" w:rsidP="00CA1F1F">
      <w:pPr>
        <w:rPr>
          <w:rFonts w:asciiTheme="minorHAnsi" w:eastAsiaTheme="minorHAnsi" w:hAnsiTheme="minorHAnsi" w:cstheme="minorHAnsi"/>
          <w:b/>
          <w:sz w:val="22"/>
          <w:szCs w:val="22"/>
          <w:lang w:eastAsia="en-US"/>
        </w:rPr>
      </w:pPr>
    </w:p>
    <w:p w14:paraId="3535CD7C" w14:textId="42D73BF8" w:rsidR="00CA1F1F" w:rsidRDefault="00CA1F1F" w:rsidP="00CA1F1F">
      <w:pPr>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Ansprechpartner für die Redaktion:</w:t>
      </w:r>
    </w:p>
    <w:p w14:paraId="6C18D72D" w14:textId="77777777" w:rsidR="00CA1F1F" w:rsidRPr="00CA1F1F" w:rsidRDefault="00CA1F1F" w:rsidP="00CA1F1F">
      <w:pPr>
        <w:spacing w:after="100" w:afterAutospacing="1"/>
        <w:rPr>
          <w:rFonts w:asciiTheme="minorHAnsi" w:eastAsiaTheme="minorHAnsi" w:hAnsiTheme="minorHAnsi" w:cstheme="minorHAnsi"/>
          <w:b/>
          <w:sz w:val="22"/>
          <w:szCs w:val="22"/>
          <w:lang w:eastAsia="en-US"/>
        </w:rPr>
      </w:pPr>
      <w:r w:rsidRPr="00CA1F1F">
        <w:rPr>
          <w:rFonts w:asciiTheme="minorHAnsi" w:eastAsiaTheme="minorHAnsi" w:hAnsiTheme="minorHAnsi" w:cstheme="minorHAnsi"/>
          <w:b/>
          <w:sz w:val="22"/>
          <w:szCs w:val="22"/>
          <w:lang w:eastAsia="en-US"/>
        </w:rPr>
        <w:t>Christoph Wolfsperger</w:t>
      </w:r>
      <w:r w:rsidRPr="00CA1F1F">
        <w:rPr>
          <w:rFonts w:asciiTheme="minorHAnsi" w:eastAsiaTheme="minorHAnsi" w:hAnsiTheme="minorHAnsi" w:cstheme="minorHAnsi"/>
          <w:b/>
          <w:sz w:val="22"/>
          <w:szCs w:val="22"/>
          <w:lang w:eastAsia="en-US"/>
        </w:rPr>
        <w:br/>
        <w:t>+49 (0)7465 92 96 78-44</w:t>
      </w:r>
      <w:r w:rsidRPr="00CA1F1F">
        <w:rPr>
          <w:rFonts w:asciiTheme="minorHAnsi" w:eastAsiaTheme="minorHAnsi" w:hAnsiTheme="minorHAnsi" w:cstheme="minorHAnsi"/>
          <w:b/>
          <w:sz w:val="22"/>
          <w:szCs w:val="22"/>
          <w:lang w:eastAsia="en-US"/>
        </w:rPr>
        <w:br/>
      </w:r>
      <w:hyperlink r:id="rId13" w:history="1">
        <w:r w:rsidRPr="00CA1F1F">
          <w:rPr>
            <w:rStyle w:val="Hyperlink"/>
            <w:rFonts w:asciiTheme="minorHAnsi" w:eastAsiaTheme="minorHAnsi" w:hAnsiTheme="minorHAnsi" w:cstheme="minorHAnsi"/>
            <w:b/>
            <w:sz w:val="22"/>
            <w:szCs w:val="22"/>
            <w:lang w:eastAsia="en-US"/>
          </w:rPr>
          <w:t>c.wolfsperger@cleancontrolling.de</w:t>
        </w:r>
      </w:hyperlink>
    </w:p>
    <w:p w14:paraId="668EF56C" w14:textId="6BE8A7AA" w:rsidR="009E3671" w:rsidRDefault="009E3671" w:rsidP="00CA1F1F">
      <w:pPr>
        <w:spacing w:line="360"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Link zum Presseportal:  </w:t>
      </w:r>
      <w:hyperlink r:id="rId14" w:history="1">
        <w:r w:rsidRPr="009E3671">
          <w:rPr>
            <w:rStyle w:val="Hyperlink"/>
            <w:rFonts w:asciiTheme="minorHAnsi" w:eastAsiaTheme="minorHAnsi" w:hAnsiTheme="minorHAnsi" w:cstheme="minorHAnsi"/>
            <w:bCs/>
            <w:sz w:val="22"/>
            <w:szCs w:val="22"/>
            <w:lang w:eastAsia="en-US"/>
          </w:rPr>
          <w:t>https://www.cleancontrolling.com/presse</w:t>
        </w:r>
      </w:hyperlink>
    </w:p>
    <w:p w14:paraId="03647A49" w14:textId="1351669D" w:rsidR="009E3671" w:rsidRDefault="009E3671" w:rsidP="009E3671">
      <w:pPr>
        <w:spacing w:line="360" w:lineRule="auto"/>
        <w:rPr>
          <w:rFonts w:asciiTheme="minorHAnsi" w:eastAsiaTheme="minorHAnsi" w:hAnsiTheme="minorHAnsi" w:cstheme="minorHAnsi"/>
          <w:b/>
          <w:sz w:val="22"/>
          <w:szCs w:val="22"/>
          <w:lang w:eastAsia="en-US"/>
        </w:rPr>
      </w:pPr>
    </w:p>
    <w:p w14:paraId="34DA47B0" w14:textId="7161361F" w:rsidR="00A85553" w:rsidRDefault="00A85553" w:rsidP="009E3671">
      <w:pPr>
        <w:spacing w:line="360"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Grafiken zu den Extraktionsverfahren: </w:t>
      </w:r>
      <w:r w:rsidRPr="00A85553">
        <w:rPr>
          <w:rFonts w:asciiTheme="minorHAnsi" w:eastAsiaTheme="minorHAnsi" w:hAnsiTheme="minorHAnsi" w:cstheme="minorHAnsi"/>
          <w:bCs/>
          <w:sz w:val="22"/>
          <w:szCs w:val="22"/>
          <w:lang w:eastAsia="en-US"/>
        </w:rPr>
        <w:t>Download vom Presseportal</w:t>
      </w:r>
      <w:r>
        <w:rPr>
          <w:rFonts w:asciiTheme="minorHAnsi" w:eastAsiaTheme="minorHAnsi" w:hAnsiTheme="minorHAnsi" w:cstheme="minorHAnsi"/>
          <w:b/>
          <w:sz w:val="22"/>
          <w:szCs w:val="22"/>
          <w:lang w:eastAsia="en-US"/>
        </w:rPr>
        <w:t xml:space="preserve"> </w:t>
      </w:r>
    </w:p>
    <w:p w14:paraId="6876A5EE" w14:textId="77777777" w:rsidR="00A85553" w:rsidRDefault="00A85553" w:rsidP="009E3671">
      <w:pPr>
        <w:spacing w:line="360" w:lineRule="auto"/>
        <w:rPr>
          <w:rFonts w:asciiTheme="minorHAnsi" w:eastAsiaTheme="minorHAnsi" w:hAnsiTheme="minorHAnsi" w:cstheme="minorHAnsi"/>
          <w:b/>
          <w:sz w:val="22"/>
          <w:szCs w:val="22"/>
          <w:lang w:eastAsia="en-US"/>
        </w:rPr>
      </w:pPr>
    </w:p>
    <w:p w14:paraId="4A651036" w14:textId="5FAC4876" w:rsidR="009E3671" w:rsidRPr="00CA1F1F" w:rsidRDefault="009E3671" w:rsidP="009E3671">
      <w:pPr>
        <w:spacing w:line="360" w:lineRule="auto"/>
        <w:rPr>
          <w:rFonts w:asciiTheme="minorHAnsi" w:eastAsiaTheme="minorHAnsi" w:hAnsiTheme="minorHAnsi" w:cstheme="minorHAnsi"/>
          <w:bCs/>
          <w:sz w:val="22"/>
          <w:szCs w:val="22"/>
          <w:lang w:eastAsia="en-US"/>
        </w:rPr>
      </w:pPr>
      <w:r w:rsidRPr="004E252F">
        <w:rPr>
          <w:rFonts w:asciiTheme="minorHAnsi" w:eastAsiaTheme="minorHAnsi" w:hAnsiTheme="minorHAnsi" w:cstheme="minorHAnsi"/>
          <w:b/>
          <w:sz w:val="22"/>
          <w:szCs w:val="22"/>
          <w:lang w:eastAsia="en-US"/>
        </w:rPr>
        <w:t>Grafik</w:t>
      </w:r>
      <w:r>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Grafik Vergleich aus ZVEI-Studie.jpg</w:t>
      </w:r>
      <w:r>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(73 KB – Download vom Presseportal)</w:t>
      </w:r>
    </w:p>
    <w:p w14:paraId="60D82284" w14:textId="3E289FF8" w:rsidR="009E3671" w:rsidRDefault="009E3671" w:rsidP="009E3671">
      <w:pPr>
        <w:spacing w:line="360"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
          <w:sz w:val="22"/>
          <w:szCs w:val="22"/>
          <w:lang w:eastAsia="en-US"/>
        </w:rPr>
        <w:t>Grafik</w:t>
      </w:r>
      <w:r w:rsidRPr="00CA1F1F">
        <w:rPr>
          <w:rFonts w:asciiTheme="minorHAnsi" w:eastAsiaTheme="minorHAnsi" w:hAnsiTheme="minorHAnsi" w:cstheme="minorHAnsi"/>
          <w:b/>
          <w:sz w:val="22"/>
          <w:szCs w:val="22"/>
          <w:lang w:eastAsia="en-US"/>
        </w:rPr>
        <w:t xml:space="preserve">unterschrift: </w:t>
      </w:r>
      <w:r>
        <w:rPr>
          <w:rFonts w:asciiTheme="minorHAnsi" w:eastAsiaTheme="minorHAnsi" w:hAnsiTheme="minorHAnsi" w:cstheme="minorHAnsi"/>
          <w:bCs/>
          <w:sz w:val="22"/>
          <w:szCs w:val="22"/>
          <w:lang w:eastAsia="en-US"/>
        </w:rPr>
        <w:t xml:space="preserve">Vergleich der Partikelverteilung </w:t>
      </w:r>
      <w:r w:rsidRPr="00CA1F1F">
        <w:rPr>
          <w:rFonts w:asciiTheme="minorHAnsi" w:eastAsiaTheme="minorHAnsi" w:hAnsiTheme="minorHAnsi" w:cstheme="minorHAnsi"/>
          <w:bCs/>
          <w:sz w:val="22"/>
          <w:szCs w:val="22"/>
          <w:lang w:eastAsia="en-US"/>
        </w:rPr>
        <w:t xml:space="preserve"> (Quelle: CleanControlling)</w:t>
      </w:r>
    </w:p>
    <w:p w14:paraId="255B2FAA" w14:textId="77777777" w:rsidR="009E3671" w:rsidRDefault="009E3671" w:rsidP="00CA1F1F">
      <w:pPr>
        <w:spacing w:line="360" w:lineRule="auto"/>
        <w:rPr>
          <w:rFonts w:asciiTheme="minorHAnsi" w:eastAsiaTheme="minorHAnsi" w:hAnsiTheme="minorHAnsi" w:cstheme="minorHAnsi"/>
          <w:b/>
          <w:sz w:val="22"/>
          <w:szCs w:val="22"/>
          <w:lang w:eastAsia="en-US"/>
        </w:rPr>
      </w:pPr>
    </w:p>
    <w:p w14:paraId="7A9BF78F" w14:textId="35581C89" w:rsidR="00CA1F1F" w:rsidRPr="00CA1F1F" w:rsidRDefault="004E252F" w:rsidP="00CA1F1F">
      <w:pPr>
        <w:spacing w:line="360"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Bild: </w:t>
      </w:r>
      <w:r w:rsidR="009E3671">
        <w:rPr>
          <w:rFonts w:asciiTheme="minorHAnsi" w:eastAsiaTheme="minorHAnsi" w:hAnsiTheme="minorHAnsi" w:cstheme="minorHAnsi"/>
          <w:b/>
          <w:sz w:val="22"/>
          <w:szCs w:val="22"/>
          <w:lang w:eastAsia="en-US"/>
        </w:rPr>
        <w:t>„</w:t>
      </w:r>
      <w:r w:rsidRPr="004E252F">
        <w:rPr>
          <w:rFonts w:asciiTheme="minorHAnsi" w:eastAsiaTheme="minorHAnsi" w:hAnsiTheme="minorHAnsi" w:cstheme="minorHAnsi"/>
          <w:bCs/>
          <w:sz w:val="22"/>
          <w:szCs w:val="22"/>
          <w:lang w:eastAsia="en-US"/>
        </w:rPr>
        <w:t>cps3-freisteller_a1300dpi.jpg</w:t>
      </w:r>
      <w:r w:rsidR="009E3671">
        <w:rPr>
          <w:rFonts w:asciiTheme="minorHAnsi" w:eastAsiaTheme="minorHAnsi" w:hAnsiTheme="minorHAnsi" w:cstheme="minorHAnsi"/>
          <w:bCs/>
          <w:sz w:val="22"/>
          <w:szCs w:val="22"/>
          <w:lang w:eastAsia="en-US"/>
        </w:rPr>
        <w:t>“</w:t>
      </w:r>
      <w:r>
        <w:rPr>
          <w:rFonts w:asciiTheme="minorHAnsi" w:eastAsiaTheme="minorHAnsi" w:hAnsiTheme="minorHAnsi" w:cstheme="minorHAnsi"/>
          <w:b/>
          <w:sz w:val="22"/>
          <w:szCs w:val="22"/>
          <w:lang w:eastAsia="en-US"/>
        </w:rPr>
        <w:t xml:space="preserve">  </w:t>
      </w:r>
      <w:r w:rsidRPr="004E252F">
        <w:rPr>
          <w:rFonts w:asciiTheme="minorHAnsi" w:eastAsiaTheme="minorHAnsi" w:hAnsiTheme="minorHAnsi" w:cstheme="minorHAnsi"/>
          <w:bCs/>
          <w:sz w:val="22"/>
          <w:szCs w:val="22"/>
          <w:lang w:eastAsia="en-US"/>
        </w:rPr>
        <w:t>(17,3 MB - Download vom Presseportal)</w:t>
      </w:r>
    </w:p>
    <w:p w14:paraId="4C751DB0" w14:textId="06908AFB" w:rsidR="00CA1F1F" w:rsidRDefault="00CA1F1F" w:rsidP="00CA1F1F">
      <w:pPr>
        <w:spacing w:line="360" w:lineRule="auto"/>
        <w:rPr>
          <w:rFonts w:asciiTheme="minorHAnsi" w:eastAsiaTheme="minorHAnsi" w:hAnsiTheme="minorHAnsi" w:cstheme="minorHAnsi"/>
          <w:bCs/>
          <w:sz w:val="22"/>
          <w:szCs w:val="22"/>
          <w:lang w:eastAsia="en-US"/>
        </w:rPr>
      </w:pPr>
      <w:r w:rsidRPr="00CA1F1F">
        <w:rPr>
          <w:rFonts w:asciiTheme="minorHAnsi" w:eastAsiaTheme="minorHAnsi" w:hAnsiTheme="minorHAnsi" w:cstheme="minorHAnsi"/>
          <w:b/>
          <w:sz w:val="22"/>
          <w:szCs w:val="22"/>
          <w:lang w:eastAsia="en-US"/>
        </w:rPr>
        <w:t xml:space="preserve">Bildunterschrift: </w:t>
      </w:r>
      <w:r w:rsidRPr="00CA1F1F">
        <w:rPr>
          <w:rFonts w:asciiTheme="minorHAnsi" w:eastAsiaTheme="minorHAnsi" w:hAnsiTheme="minorHAnsi" w:cstheme="minorHAnsi"/>
          <w:bCs/>
          <w:sz w:val="22"/>
          <w:szCs w:val="22"/>
          <w:lang w:eastAsia="en-US"/>
        </w:rPr>
        <w:t>C|PS³apex – neues Partikel-Saugextraktionssystem (Quelle: CleanControlling)</w:t>
      </w:r>
    </w:p>
    <w:p w14:paraId="72307701" w14:textId="48524791" w:rsidR="004E252F" w:rsidRDefault="004E252F" w:rsidP="00CA1F1F">
      <w:pPr>
        <w:spacing w:line="360" w:lineRule="auto"/>
        <w:rPr>
          <w:rFonts w:asciiTheme="minorHAnsi" w:eastAsiaTheme="minorHAnsi" w:hAnsiTheme="minorHAnsi" w:cstheme="minorHAnsi"/>
          <w:bCs/>
          <w:sz w:val="22"/>
          <w:szCs w:val="22"/>
          <w:lang w:eastAsia="en-US"/>
        </w:rPr>
      </w:pPr>
    </w:p>
    <w:p w14:paraId="01D004D9" w14:textId="77777777" w:rsidR="009576F9" w:rsidRPr="00CA1F1F" w:rsidRDefault="009576F9" w:rsidP="00CA1F1F">
      <w:pPr>
        <w:spacing w:line="360" w:lineRule="auto"/>
        <w:rPr>
          <w:rFonts w:asciiTheme="minorHAnsi" w:eastAsiaTheme="minorHAnsi" w:hAnsiTheme="minorHAnsi" w:cstheme="minorHAnsi"/>
          <w:bCs/>
          <w:sz w:val="22"/>
          <w:szCs w:val="22"/>
          <w:lang w:eastAsia="en-US"/>
        </w:rPr>
      </w:pPr>
    </w:p>
    <w:sectPr w:rsidR="009576F9" w:rsidRPr="00CA1F1F" w:rsidSect="007D4D65">
      <w:headerReference w:type="default" r:id="rId15"/>
      <w:footerReference w:type="default" r:id="rId16"/>
      <w:pgSz w:w="11907" w:h="16840" w:code="9"/>
      <w:pgMar w:top="774" w:right="96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02B7" w14:textId="77777777" w:rsidR="002D65E5" w:rsidRDefault="002D65E5">
      <w:r>
        <w:separator/>
      </w:r>
    </w:p>
  </w:endnote>
  <w:endnote w:type="continuationSeparator" w:id="0">
    <w:p w14:paraId="35BD8420" w14:textId="77777777" w:rsidR="002D65E5" w:rsidRDefault="002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BFBFBF"/>
      </w:tblBorders>
      <w:tblLayout w:type="fixed"/>
      <w:tblCellMar>
        <w:left w:w="70" w:type="dxa"/>
        <w:right w:w="70" w:type="dxa"/>
      </w:tblCellMar>
      <w:tblLook w:val="0000" w:firstRow="0" w:lastRow="0" w:firstColumn="0" w:lastColumn="0" w:noHBand="0" w:noVBand="0"/>
    </w:tblPr>
    <w:tblGrid>
      <w:gridCol w:w="3331"/>
      <w:gridCol w:w="3827"/>
      <w:gridCol w:w="2790"/>
    </w:tblGrid>
    <w:tr w:rsidR="00671D96" w:rsidRPr="00E034E1" w14:paraId="6403F1C6" w14:textId="77777777" w:rsidTr="00616AC8">
      <w:tc>
        <w:tcPr>
          <w:tcW w:w="3331" w:type="dxa"/>
        </w:tcPr>
        <w:p w14:paraId="2B3F01F5" w14:textId="77777777" w:rsidR="00C55554" w:rsidRPr="00616AC8" w:rsidRDefault="00C55554">
          <w:pPr>
            <w:pStyle w:val="Fuzeile"/>
            <w:rPr>
              <w:rFonts w:ascii="Calibri" w:hAnsi="Calibri"/>
              <w:color w:val="BFBFBF"/>
              <w:sz w:val="16"/>
            </w:rPr>
          </w:pPr>
        </w:p>
      </w:tc>
      <w:tc>
        <w:tcPr>
          <w:tcW w:w="3827" w:type="dxa"/>
        </w:tcPr>
        <w:p w14:paraId="2B3ADC76" w14:textId="77777777" w:rsidR="00C55554" w:rsidRPr="005717BD" w:rsidRDefault="00B72348">
          <w:pPr>
            <w:pStyle w:val="Fuzeile"/>
            <w:jc w:val="center"/>
            <w:rPr>
              <w:rFonts w:ascii="Calibri" w:hAnsi="Calibri"/>
              <w:color w:val="3D4746"/>
              <w:sz w:val="16"/>
            </w:rPr>
          </w:pP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PAGE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r w:rsidR="00C55554" w:rsidRPr="005717BD">
            <w:rPr>
              <w:rStyle w:val="Seitenzahl"/>
              <w:rFonts w:ascii="Calibri" w:hAnsi="Calibri"/>
              <w:color w:val="3D4746"/>
              <w:sz w:val="16"/>
            </w:rPr>
            <w:t>/</w:t>
          </w: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NUMPAGES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p>
      </w:tc>
      <w:tc>
        <w:tcPr>
          <w:tcW w:w="2790" w:type="dxa"/>
        </w:tcPr>
        <w:p w14:paraId="0C286726" w14:textId="77777777" w:rsidR="007D4D65" w:rsidRPr="00E034E1" w:rsidRDefault="007D4D65" w:rsidP="007D4D65">
          <w:pPr>
            <w:pStyle w:val="Kopfzeile"/>
            <w:jc w:val="right"/>
            <w:rPr>
              <w:rFonts w:ascii="Verdana" w:hAnsi="Verdana"/>
              <w:color w:val="808080" w:themeColor="background1" w:themeShade="80"/>
              <w:sz w:val="18"/>
              <w:szCs w:val="18"/>
            </w:rPr>
          </w:pPr>
        </w:p>
        <w:p w14:paraId="0509CCD6" w14:textId="77777777" w:rsidR="00C55554" w:rsidRPr="00E034E1" w:rsidRDefault="00C55554">
          <w:pPr>
            <w:pStyle w:val="Fuzeile"/>
            <w:jc w:val="right"/>
            <w:rPr>
              <w:rFonts w:ascii="Verdana" w:hAnsi="Verdana"/>
              <w:color w:val="808080" w:themeColor="background1" w:themeShade="80"/>
              <w:sz w:val="18"/>
              <w:szCs w:val="18"/>
            </w:rPr>
          </w:pPr>
        </w:p>
      </w:tc>
    </w:tr>
    <w:tr w:rsidR="00C55554" w:rsidRPr="00616AC8" w14:paraId="0DB823AF" w14:textId="77777777" w:rsidTr="00616AC8">
      <w:trPr>
        <w:cantSplit/>
      </w:trPr>
      <w:tc>
        <w:tcPr>
          <w:tcW w:w="9948" w:type="dxa"/>
          <w:gridSpan w:val="3"/>
        </w:tcPr>
        <w:p w14:paraId="065F3670" w14:textId="77777777" w:rsidR="00C55554" w:rsidRPr="00616AC8" w:rsidRDefault="00C55554">
          <w:pPr>
            <w:pStyle w:val="Fuzeile"/>
            <w:rPr>
              <w:rFonts w:ascii="Calibri" w:hAnsi="Calibri"/>
              <w:color w:val="BFBFBF"/>
            </w:rPr>
          </w:pPr>
        </w:p>
      </w:tc>
    </w:tr>
  </w:tbl>
  <w:p w14:paraId="6C3D9E81" w14:textId="77777777" w:rsidR="00C55554" w:rsidRDefault="00C55554" w:rsidP="002A429E">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C7A" w14:textId="77777777" w:rsidR="002D65E5" w:rsidRDefault="002D65E5">
      <w:r>
        <w:separator/>
      </w:r>
    </w:p>
  </w:footnote>
  <w:footnote w:type="continuationSeparator" w:id="0">
    <w:p w14:paraId="1CDF8744" w14:textId="77777777" w:rsidR="002D65E5" w:rsidRDefault="002D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BFBFBF"/>
        <w:insideH w:val="single" w:sz="6" w:space="0" w:color="auto"/>
      </w:tblBorders>
      <w:tblLayout w:type="fixed"/>
      <w:tblCellMar>
        <w:left w:w="70" w:type="dxa"/>
        <w:right w:w="70" w:type="dxa"/>
      </w:tblCellMar>
      <w:tblLook w:val="0000" w:firstRow="0" w:lastRow="0" w:firstColumn="0" w:lastColumn="0" w:noHBand="0" w:noVBand="0"/>
    </w:tblPr>
    <w:tblGrid>
      <w:gridCol w:w="5245"/>
      <w:gridCol w:w="895"/>
      <w:gridCol w:w="3428"/>
    </w:tblGrid>
    <w:tr w:rsidR="00C55554" w:rsidRPr="00ED149F" w14:paraId="1DE0881C" w14:textId="77777777" w:rsidTr="00503F93">
      <w:tc>
        <w:tcPr>
          <w:tcW w:w="5245" w:type="dxa"/>
        </w:tcPr>
        <w:p w14:paraId="7505F62F" w14:textId="58AC63FA" w:rsidR="00C55554" w:rsidRPr="002D65E5" w:rsidRDefault="002D65E5" w:rsidP="00671D96">
          <w:pPr>
            <w:pStyle w:val="Kopfzeile"/>
            <w:spacing w:after="120"/>
            <w:rPr>
              <w:rFonts w:ascii="Calibri" w:hAnsi="Calibri" w:cs="Calibri"/>
              <w:b/>
              <w:color w:val="3D4746"/>
              <w:szCs w:val="24"/>
              <w:lang w:val="en-US"/>
            </w:rPr>
          </w:pPr>
          <w:proofErr w:type="spellStart"/>
          <w:r w:rsidRPr="002D65E5">
            <w:rPr>
              <w:rFonts w:ascii="Calibri" w:hAnsi="Calibri" w:cs="Calibri"/>
              <w:b/>
              <w:color w:val="3D4746"/>
              <w:szCs w:val="24"/>
              <w:lang w:val="en-US"/>
            </w:rPr>
            <w:t>Pressetext</w:t>
          </w:r>
          <w:proofErr w:type="spellEnd"/>
          <w:r w:rsidRPr="002D65E5">
            <w:rPr>
              <w:rFonts w:ascii="Calibri" w:hAnsi="Calibri" w:cs="Calibri"/>
              <w:b/>
              <w:color w:val="3D4746"/>
              <w:szCs w:val="24"/>
              <w:lang w:val="en-US"/>
            </w:rPr>
            <w:t xml:space="preserve">: </w:t>
          </w:r>
          <w:r w:rsidR="00934E21" w:rsidRPr="002D65E5">
            <w:rPr>
              <w:rFonts w:ascii="Calibri" w:hAnsi="Calibri" w:cs="Calibri"/>
              <w:b/>
              <w:color w:val="3D4746"/>
              <w:szCs w:val="24"/>
              <w:lang w:val="en-US"/>
            </w:rPr>
            <w:br/>
          </w:r>
          <w:r w:rsidRPr="002D65E5">
            <w:rPr>
              <w:rFonts w:ascii="Calibri" w:hAnsi="Calibri" w:cs="Calibri"/>
              <w:bCs/>
              <w:color w:val="3D4746"/>
              <w:sz w:val="22"/>
              <w:szCs w:val="22"/>
              <w:lang w:val="en-US"/>
            </w:rPr>
            <w:t>parts2clean - l</w:t>
          </w:r>
          <w:r>
            <w:rPr>
              <w:rFonts w:ascii="Calibri" w:hAnsi="Calibri" w:cs="Calibri"/>
              <w:bCs/>
              <w:color w:val="3D4746"/>
              <w:sz w:val="22"/>
              <w:szCs w:val="22"/>
              <w:lang w:val="en-US"/>
            </w:rPr>
            <w:t>ang</w:t>
          </w:r>
        </w:p>
        <w:p w14:paraId="00C265E9" w14:textId="5AB82914" w:rsidR="00671D96" w:rsidRPr="00934E21" w:rsidRDefault="002D65E5" w:rsidP="007D4D65">
          <w:pPr>
            <w:pStyle w:val="Kopfzeile"/>
            <w:rPr>
              <w:rFonts w:ascii="Verdana" w:hAnsi="Verdana"/>
              <w:color w:val="808080" w:themeColor="background1" w:themeShade="80"/>
              <w:sz w:val="20"/>
              <w:lang w:val="en-US"/>
            </w:rPr>
          </w:pPr>
          <w:r w:rsidRPr="002D65E5">
            <w:rPr>
              <w:rFonts w:ascii="Calibri" w:hAnsi="Calibri" w:cs="Calibri"/>
              <w:color w:val="3D4746"/>
              <w:sz w:val="20"/>
              <w:lang w:val="en-US"/>
            </w:rPr>
            <w:t>Christoph Wolfsperger</w:t>
          </w:r>
        </w:p>
      </w:tc>
      <w:tc>
        <w:tcPr>
          <w:tcW w:w="895" w:type="dxa"/>
        </w:tcPr>
        <w:p w14:paraId="3CCC406F" w14:textId="77777777" w:rsidR="00C55554" w:rsidRPr="00671D96" w:rsidRDefault="00C55554">
          <w:pPr>
            <w:pStyle w:val="Kopfzeile"/>
            <w:jc w:val="right"/>
            <w:rPr>
              <w:rFonts w:ascii="Calibri" w:hAnsi="Calibri"/>
              <w:color w:val="808080" w:themeColor="background1" w:themeShade="80"/>
              <w:sz w:val="20"/>
              <w:lang w:val="en-US"/>
            </w:rPr>
          </w:pPr>
        </w:p>
      </w:tc>
      <w:tc>
        <w:tcPr>
          <w:tcW w:w="3428" w:type="dxa"/>
        </w:tcPr>
        <w:p w14:paraId="02D0C349" w14:textId="77777777" w:rsidR="0064654B" w:rsidRPr="00004748" w:rsidRDefault="0064654B" w:rsidP="0064654B">
          <w:pPr>
            <w:pStyle w:val="Kopfzeile"/>
            <w:jc w:val="center"/>
            <w:rPr>
              <w:rFonts w:ascii="Calibri" w:hAnsi="Calibri"/>
              <w:lang w:val="en-US"/>
            </w:rPr>
          </w:pPr>
        </w:p>
      </w:tc>
    </w:tr>
  </w:tbl>
  <w:p w14:paraId="49D263AE" w14:textId="77777777" w:rsidR="00C55554" w:rsidRPr="00004748" w:rsidRDefault="00004748">
    <w:pPr>
      <w:pStyle w:val="Kopfzeile"/>
      <w:rPr>
        <w:sz w:val="8"/>
        <w:lang w:val="en-US"/>
      </w:rPr>
    </w:pPr>
    <w:r>
      <w:rPr>
        <w:rFonts w:ascii="Calibri" w:hAnsi="Calibri"/>
        <w:noProof/>
      </w:rPr>
      <w:drawing>
        <wp:anchor distT="0" distB="0" distL="114300" distR="114300" simplePos="0" relativeHeight="251658240" behindDoc="0" locked="0" layoutInCell="1" allowOverlap="1" wp14:anchorId="17DD130E" wp14:editId="1730CBC4">
          <wp:simplePos x="0" y="0"/>
          <wp:positionH relativeFrom="column">
            <wp:posOffset>3947160</wp:posOffset>
          </wp:positionH>
          <wp:positionV relativeFrom="paragraph">
            <wp:posOffset>-579755</wp:posOffset>
          </wp:positionV>
          <wp:extent cx="2087880" cy="55499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Cont-Logo-4C.jpg"/>
                  <pic:cNvPicPr/>
                </pic:nvPicPr>
                <pic:blipFill>
                  <a:blip r:embed="rId1">
                    <a:extLst>
                      <a:ext uri="{28A0092B-C50C-407E-A947-70E740481C1C}">
                        <a14:useLocalDpi xmlns:a14="http://schemas.microsoft.com/office/drawing/2010/main" val="0"/>
                      </a:ext>
                    </a:extLst>
                  </a:blip>
                  <a:stretch>
                    <a:fillRect/>
                  </a:stretch>
                </pic:blipFill>
                <pic:spPr>
                  <a:xfrm>
                    <a:off x="0" y="0"/>
                    <a:ext cx="2087880"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9B"/>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36CD8"/>
    <w:multiLevelType w:val="multilevel"/>
    <w:tmpl w:val="C0C0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F60A5"/>
    <w:multiLevelType w:val="multilevel"/>
    <w:tmpl w:val="A81EF6A4"/>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3A42839"/>
    <w:multiLevelType w:val="hybridMultilevel"/>
    <w:tmpl w:val="A2DA1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761A6"/>
    <w:multiLevelType w:val="hybridMultilevel"/>
    <w:tmpl w:val="F70E5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F6677A"/>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017AC3"/>
    <w:multiLevelType w:val="hybridMultilevel"/>
    <w:tmpl w:val="C57CB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593D97"/>
    <w:multiLevelType w:val="hybridMultilevel"/>
    <w:tmpl w:val="1652B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F801AB"/>
    <w:multiLevelType w:val="hybridMultilevel"/>
    <w:tmpl w:val="58F05B6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47402DB7"/>
    <w:multiLevelType w:val="hybridMultilevel"/>
    <w:tmpl w:val="1A080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7406CB"/>
    <w:multiLevelType w:val="hybridMultilevel"/>
    <w:tmpl w:val="8F80B80A"/>
    <w:lvl w:ilvl="0" w:tplc="9EB4E31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63CD7F7B"/>
    <w:multiLevelType w:val="multilevel"/>
    <w:tmpl w:val="BA60A6D2"/>
    <w:lvl w:ilvl="0">
      <w:start w:val="1"/>
      <w:numFmt w:val="bullet"/>
      <w:lvlText w:val=""/>
      <w:lvlJc w:val="left"/>
      <w:pPr>
        <w:ind w:left="1416" w:hanging="708"/>
      </w:pPr>
      <w:rPr>
        <w:rFonts w:ascii="Symbol" w:hAnsi="Symbol" w:cs="Symbol"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6F461C9A"/>
    <w:multiLevelType w:val="hybridMultilevel"/>
    <w:tmpl w:val="085E5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397FE4"/>
    <w:multiLevelType w:val="hybridMultilevel"/>
    <w:tmpl w:val="5AB40D66"/>
    <w:lvl w:ilvl="0" w:tplc="8BB082D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C57C38"/>
    <w:multiLevelType w:val="multilevel"/>
    <w:tmpl w:val="7F788A48"/>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5"/>
  </w:num>
  <w:num w:numId="6">
    <w:abstractNumId w:val="13"/>
  </w:num>
  <w:num w:numId="7">
    <w:abstractNumId w:val="0"/>
  </w:num>
  <w:num w:numId="8">
    <w:abstractNumId w:val="11"/>
  </w:num>
  <w:num w:numId="9">
    <w:abstractNumId w:val="14"/>
  </w:num>
  <w:num w:numId="10">
    <w:abstractNumId w:val="2"/>
  </w:num>
  <w:num w:numId="11">
    <w:abstractNumId w:val="10"/>
  </w:num>
  <w:num w:numId="12">
    <w:abstractNumId w:val="6"/>
  </w:num>
  <w:num w:numId="13">
    <w:abstractNumId w:val="9"/>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E5"/>
    <w:rsid w:val="00004748"/>
    <w:rsid w:val="00010014"/>
    <w:rsid w:val="00011F18"/>
    <w:rsid w:val="00030397"/>
    <w:rsid w:val="00041F9C"/>
    <w:rsid w:val="00071E33"/>
    <w:rsid w:val="000B4A8F"/>
    <w:rsid w:val="001238BB"/>
    <w:rsid w:val="001C1DAC"/>
    <w:rsid w:val="0020118C"/>
    <w:rsid w:val="00252154"/>
    <w:rsid w:val="002627DC"/>
    <w:rsid w:val="002633D0"/>
    <w:rsid w:val="00295A8F"/>
    <w:rsid w:val="002A429E"/>
    <w:rsid w:val="002C3C20"/>
    <w:rsid w:val="002D65E5"/>
    <w:rsid w:val="002E4EC6"/>
    <w:rsid w:val="00382664"/>
    <w:rsid w:val="003B5F1B"/>
    <w:rsid w:val="003B65B4"/>
    <w:rsid w:val="003F7B0C"/>
    <w:rsid w:val="00402884"/>
    <w:rsid w:val="00451844"/>
    <w:rsid w:val="004869FC"/>
    <w:rsid w:val="004B68B2"/>
    <w:rsid w:val="004E252F"/>
    <w:rsid w:val="0050106D"/>
    <w:rsid w:val="00503F93"/>
    <w:rsid w:val="005717BD"/>
    <w:rsid w:val="00594994"/>
    <w:rsid w:val="005B33C1"/>
    <w:rsid w:val="005F5854"/>
    <w:rsid w:val="00616AC8"/>
    <w:rsid w:val="00617B38"/>
    <w:rsid w:val="0064654B"/>
    <w:rsid w:val="00661881"/>
    <w:rsid w:val="00671D96"/>
    <w:rsid w:val="006A74CA"/>
    <w:rsid w:val="006A7B06"/>
    <w:rsid w:val="006B4133"/>
    <w:rsid w:val="00752FA1"/>
    <w:rsid w:val="007D4D65"/>
    <w:rsid w:val="008043BD"/>
    <w:rsid w:val="00817CFB"/>
    <w:rsid w:val="008B6565"/>
    <w:rsid w:val="008E44B6"/>
    <w:rsid w:val="00934E21"/>
    <w:rsid w:val="009576F9"/>
    <w:rsid w:val="009E3671"/>
    <w:rsid w:val="009F72CF"/>
    <w:rsid w:val="00A03301"/>
    <w:rsid w:val="00A04553"/>
    <w:rsid w:val="00A75F99"/>
    <w:rsid w:val="00A85553"/>
    <w:rsid w:val="00A85BE0"/>
    <w:rsid w:val="00A87E74"/>
    <w:rsid w:val="00AA241A"/>
    <w:rsid w:val="00AD7DA7"/>
    <w:rsid w:val="00AF5C96"/>
    <w:rsid w:val="00B24137"/>
    <w:rsid w:val="00B56D2C"/>
    <w:rsid w:val="00B72348"/>
    <w:rsid w:val="00BB3476"/>
    <w:rsid w:val="00BC1707"/>
    <w:rsid w:val="00BC407F"/>
    <w:rsid w:val="00C27C08"/>
    <w:rsid w:val="00C52AFC"/>
    <w:rsid w:val="00C55554"/>
    <w:rsid w:val="00C87B73"/>
    <w:rsid w:val="00CA1F1F"/>
    <w:rsid w:val="00CC120D"/>
    <w:rsid w:val="00CC45BD"/>
    <w:rsid w:val="00D37980"/>
    <w:rsid w:val="00DD5BF1"/>
    <w:rsid w:val="00DE2A7A"/>
    <w:rsid w:val="00DE4410"/>
    <w:rsid w:val="00E0287E"/>
    <w:rsid w:val="00E034E1"/>
    <w:rsid w:val="00E207CD"/>
    <w:rsid w:val="00E24D6A"/>
    <w:rsid w:val="00ED149F"/>
    <w:rsid w:val="00ED2244"/>
    <w:rsid w:val="00F46216"/>
    <w:rsid w:val="00F72877"/>
    <w:rsid w:val="00FC00A0"/>
    <w:rsid w:val="00FC2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A739E"/>
  <w15:chartTrackingRefBased/>
  <w15:docId w15:val="{BFF989EF-29FE-4C02-9EDE-5BF3F60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48"/>
    <w:rPr>
      <w:rFonts w:ascii="Arial" w:hAnsi="Arial"/>
      <w:sz w:val="24"/>
    </w:rPr>
  </w:style>
  <w:style w:type="paragraph" w:styleId="berschrift1">
    <w:name w:val="heading 1"/>
    <w:basedOn w:val="Standard"/>
    <w:next w:val="Standard"/>
    <w:qFormat/>
    <w:rsid w:val="00B72348"/>
    <w:pPr>
      <w:keepNext/>
      <w:outlineLvl w:val="0"/>
    </w:pPr>
    <w:rPr>
      <w:b/>
      <w:sz w:val="32"/>
    </w:rPr>
  </w:style>
  <w:style w:type="paragraph" w:styleId="berschrift2">
    <w:name w:val="heading 2"/>
    <w:basedOn w:val="Standard"/>
    <w:link w:val="berschrift2Zchn"/>
    <w:uiPriority w:val="9"/>
    <w:qFormat/>
    <w:rsid w:val="00030397"/>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B72348"/>
    <w:pPr>
      <w:framePr w:w="7938" w:h="1985" w:hRule="exact" w:hSpace="141" w:wrap="auto" w:hAnchor="page" w:xAlign="center" w:yAlign="bottom"/>
      <w:ind w:left="2835"/>
    </w:pPr>
    <w:rPr>
      <w:sz w:val="28"/>
    </w:rPr>
  </w:style>
  <w:style w:type="paragraph" w:styleId="Umschlagabsenderadresse">
    <w:name w:val="envelope return"/>
    <w:basedOn w:val="Standard"/>
    <w:rsid w:val="00B72348"/>
  </w:style>
  <w:style w:type="paragraph" w:styleId="Kopfzeile">
    <w:name w:val="header"/>
    <w:basedOn w:val="Standard"/>
    <w:rsid w:val="00B72348"/>
    <w:pPr>
      <w:tabs>
        <w:tab w:val="center" w:pos="4536"/>
        <w:tab w:val="right" w:pos="9072"/>
      </w:tabs>
    </w:pPr>
  </w:style>
  <w:style w:type="paragraph" w:styleId="Fuzeile">
    <w:name w:val="footer"/>
    <w:basedOn w:val="Standard"/>
    <w:rsid w:val="00B72348"/>
    <w:pPr>
      <w:tabs>
        <w:tab w:val="center" w:pos="4536"/>
        <w:tab w:val="right" w:pos="9072"/>
      </w:tabs>
    </w:pPr>
  </w:style>
  <w:style w:type="character" w:styleId="Seitenzahl">
    <w:name w:val="page number"/>
    <w:basedOn w:val="Absatz-Standardschriftart"/>
    <w:rsid w:val="00B72348"/>
  </w:style>
  <w:style w:type="table" w:styleId="Tabellenraster">
    <w:name w:val="Table Grid"/>
    <w:basedOn w:val="NormaleTabelle"/>
    <w:rsid w:val="0004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07F"/>
    <w:rPr>
      <w:rFonts w:ascii="Tahoma" w:hAnsi="Tahoma" w:cs="Tahoma"/>
      <w:sz w:val="16"/>
      <w:szCs w:val="16"/>
    </w:rPr>
  </w:style>
  <w:style w:type="character" w:customStyle="1" w:styleId="SprechblasentextZchn">
    <w:name w:val="Sprechblasentext Zchn"/>
    <w:link w:val="Sprechblasentext"/>
    <w:uiPriority w:val="99"/>
    <w:semiHidden/>
    <w:rsid w:val="00BC407F"/>
    <w:rPr>
      <w:rFonts w:ascii="Tahoma" w:hAnsi="Tahoma" w:cs="Tahoma"/>
      <w:sz w:val="16"/>
      <w:szCs w:val="16"/>
    </w:rPr>
  </w:style>
  <w:style w:type="table" w:customStyle="1" w:styleId="HelleSchattierung-Akzent11">
    <w:name w:val="Helle Schattierung - Akzent 11"/>
    <w:basedOn w:val="NormaleTabelle"/>
    <w:uiPriority w:val="60"/>
    <w:rsid w:val="003B5F1B"/>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nabsatz">
    <w:name w:val="List Paragraph"/>
    <w:basedOn w:val="Standard"/>
    <w:uiPriority w:val="34"/>
    <w:qFormat/>
    <w:rsid w:val="00CC120D"/>
    <w:pPr>
      <w:ind w:left="720"/>
    </w:pPr>
    <w:rPr>
      <w:rFonts w:ascii="Calibri" w:eastAsia="Calibri" w:hAnsi="Calibri"/>
      <w:sz w:val="22"/>
      <w:szCs w:val="22"/>
      <w:lang w:eastAsia="en-US"/>
    </w:rPr>
  </w:style>
  <w:style w:type="character" w:styleId="Hyperlink">
    <w:name w:val="Hyperlink"/>
    <w:basedOn w:val="Absatz-Standardschriftart"/>
    <w:uiPriority w:val="99"/>
    <w:unhideWhenUsed/>
    <w:rsid w:val="00010014"/>
    <w:rPr>
      <w:color w:val="0563C1" w:themeColor="hyperlink"/>
      <w:u w:val="single"/>
    </w:rPr>
  </w:style>
  <w:style w:type="character" w:styleId="NichtaufgelsteErwhnung">
    <w:name w:val="Unresolved Mention"/>
    <w:basedOn w:val="Absatz-Standardschriftart"/>
    <w:uiPriority w:val="99"/>
    <w:semiHidden/>
    <w:unhideWhenUsed/>
    <w:rsid w:val="00010014"/>
    <w:rPr>
      <w:color w:val="605E5C"/>
      <w:shd w:val="clear" w:color="auto" w:fill="E1DFDD"/>
    </w:rPr>
  </w:style>
  <w:style w:type="character" w:customStyle="1" w:styleId="berschrift2Zchn">
    <w:name w:val="Überschrift 2 Zchn"/>
    <w:basedOn w:val="Absatz-Standardschriftart"/>
    <w:link w:val="berschrift2"/>
    <w:uiPriority w:val="9"/>
    <w:rsid w:val="00030397"/>
    <w:rPr>
      <w:b/>
      <w:bCs/>
      <w:sz w:val="36"/>
      <w:szCs w:val="36"/>
    </w:rPr>
  </w:style>
  <w:style w:type="paragraph" w:customStyle="1" w:styleId="subheader">
    <w:name w:val="subheader"/>
    <w:basedOn w:val="Standard"/>
    <w:rsid w:val="00030397"/>
    <w:pPr>
      <w:spacing w:before="100" w:beforeAutospacing="1" w:after="100" w:afterAutospacing="1"/>
    </w:pPr>
    <w:rPr>
      <w:rFonts w:ascii="Times New Roman" w:hAnsi="Times New Roman"/>
      <w:szCs w:val="24"/>
    </w:rPr>
  </w:style>
  <w:style w:type="paragraph" w:styleId="StandardWeb">
    <w:name w:val="Normal (Web)"/>
    <w:basedOn w:val="Standard"/>
    <w:uiPriority w:val="99"/>
    <w:semiHidden/>
    <w:unhideWhenUsed/>
    <w:rsid w:val="0003039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4322">
      <w:bodyDiv w:val="1"/>
      <w:marLeft w:val="0"/>
      <w:marRight w:val="0"/>
      <w:marTop w:val="0"/>
      <w:marBottom w:val="0"/>
      <w:divBdr>
        <w:top w:val="none" w:sz="0" w:space="0" w:color="auto"/>
        <w:left w:val="none" w:sz="0" w:space="0" w:color="auto"/>
        <w:bottom w:val="none" w:sz="0" w:space="0" w:color="auto"/>
        <w:right w:val="none" w:sz="0" w:space="0" w:color="auto"/>
      </w:divBdr>
    </w:div>
    <w:div w:id="630525784">
      <w:bodyDiv w:val="1"/>
      <w:marLeft w:val="0"/>
      <w:marRight w:val="0"/>
      <w:marTop w:val="0"/>
      <w:marBottom w:val="0"/>
      <w:divBdr>
        <w:top w:val="none" w:sz="0" w:space="0" w:color="auto"/>
        <w:left w:val="none" w:sz="0" w:space="0" w:color="auto"/>
        <w:bottom w:val="none" w:sz="0" w:space="0" w:color="auto"/>
        <w:right w:val="none" w:sz="0" w:space="0" w:color="auto"/>
      </w:divBdr>
    </w:div>
    <w:div w:id="741827198">
      <w:bodyDiv w:val="1"/>
      <w:marLeft w:val="0"/>
      <w:marRight w:val="0"/>
      <w:marTop w:val="0"/>
      <w:marBottom w:val="0"/>
      <w:divBdr>
        <w:top w:val="none" w:sz="0" w:space="0" w:color="auto"/>
        <w:left w:val="none" w:sz="0" w:space="0" w:color="auto"/>
        <w:bottom w:val="none" w:sz="0" w:space="0" w:color="auto"/>
        <w:right w:val="none" w:sz="0" w:space="0" w:color="auto"/>
      </w:divBdr>
    </w:div>
    <w:div w:id="1393312568">
      <w:bodyDiv w:val="1"/>
      <w:marLeft w:val="0"/>
      <w:marRight w:val="0"/>
      <w:marTop w:val="0"/>
      <w:marBottom w:val="0"/>
      <w:divBdr>
        <w:top w:val="none" w:sz="0" w:space="0" w:color="auto"/>
        <w:left w:val="none" w:sz="0" w:space="0" w:color="auto"/>
        <w:bottom w:val="none" w:sz="0" w:space="0" w:color="auto"/>
        <w:right w:val="none" w:sz="0" w:space="0" w:color="auto"/>
      </w:divBdr>
      <w:divsChild>
        <w:div w:id="981272621">
          <w:marLeft w:val="0"/>
          <w:marRight w:val="0"/>
          <w:marTop w:val="300"/>
          <w:marBottom w:val="0"/>
          <w:divBdr>
            <w:top w:val="none" w:sz="0" w:space="0" w:color="auto"/>
            <w:left w:val="none" w:sz="0" w:space="0" w:color="auto"/>
            <w:bottom w:val="none" w:sz="0" w:space="0" w:color="auto"/>
            <w:right w:val="none" w:sz="0" w:space="0" w:color="auto"/>
          </w:divBdr>
          <w:divsChild>
            <w:div w:id="1650591703">
              <w:marLeft w:val="0"/>
              <w:marRight w:val="0"/>
              <w:marTop w:val="0"/>
              <w:marBottom w:val="0"/>
              <w:divBdr>
                <w:top w:val="none" w:sz="0" w:space="0" w:color="auto"/>
                <w:left w:val="none" w:sz="0" w:space="0" w:color="auto"/>
                <w:bottom w:val="none" w:sz="0" w:space="0" w:color="auto"/>
                <w:right w:val="none" w:sz="0" w:space="0" w:color="auto"/>
              </w:divBdr>
              <w:divsChild>
                <w:div w:id="183981868">
                  <w:marLeft w:val="-120"/>
                  <w:marRight w:val="-120"/>
                  <w:marTop w:val="0"/>
                  <w:marBottom w:val="0"/>
                  <w:divBdr>
                    <w:top w:val="none" w:sz="0" w:space="0" w:color="auto"/>
                    <w:left w:val="none" w:sz="0" w:space="0" w:color="auto"/>
                    <w:bottom w:val="none" w:sz="0" w:space="0" w:color="auto"/>
                    <w:right w:val="none" w:sz="0" w:space="0" w:color="auto"/>
                  </w:divBdr>
                  <w:divsChild>
                    <w:div w:id="788014537">
                      <w:marLeft w:val="0"/>
                      <w:marRight w:val="0"/>
                      <w:marTop w:val="0"/>
                      <w:marBottom w:val="0"/>
                      <w:divBdr>
                        <w:top w:val="none" w:sz="0" w:space="0" w:color="auto"/>
                        <w:left w:val="none" w:sz="0" w:space="0" w:color="auto"/>
                        <w:bottom w:val="none" w:sz="0" w:space="0" w:color="auto"/>
                        <w:right w:val="none" w:sz="0" w:space="0" w:color="auto"/>
                      </w:divBdr>
                    </w:div>
                    <w:div w:id="1799371610">
                      <w:marLeft w:val="0"/>
                      <w:marRight w:val="0"/>
                      <w:marTop w:val="0"/>
                      <w:marBottom w:val="0"/>
                      <w:divBdr>
                        <w:top w:val="none" w:sz="0" w:space="0" w:color="auto"/>
                        <w:left w:val="none" w:sz="0" w:space="0" w:color="auto"/>
                        <w:bottom w:val="none" w:sz="0" w:space="0" w:color="auto"/>
                        <w:right w:val="none" w:sz="0" w:space="0" w:color="auto"/>
                      </w:divBdr>
                      <w:divsChild>
                        <w:div w:id="1119108680">
                          <w:marLeft w:val="-120"/>
                          <w:marRight w:val="-120"/>
                          <w:marTop w:val="0"/>
                          <w:marBottom w:val="0"/>
                          <w:divBdr>
                            <w:top w:val="none" w:sz="0" w:space="0" w:color="auto"/>
                            <w:left w:val="none" w:sz="0" w:space="0" w:color="auto"/>
                            <w:bottom w:val="none" w:sz="0" w:space="0" w:color="auto"/>
                            <w:right w:val="none" w:sz="0" w:space="0" w:color="auto"/>
                          </w:divBdr>
                          <w:divsChild>
                            <w:div w:id="4345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7319">
          <w:marLeft w:val="0"/>
          <w:marRight w:val="0"/>
          <w:marTop w:val="300"/>
          <w:marBottom w:val="0"/>
          <w:divBdr>
            <w:top w:val="none" w:sz="0" w:space="0" w:color="auto"/>
            <w:left w:val="none" w:sz="0" w:space="0" w:color="auto"/>
            <w:bottom w:val="none" w:sz="0" w:space="0" w:color="auto"/>
            <w:right w:val="none" w:sz="0" w:space="0" w:color="auto"/>
          </w:divBdr>
          <w:divsChild>
            <w:div w:id="1255287269">
              <w:marLeft w:val="0"/>
              <w:marRight w:val="0"/>
              <w:marTop w:val="0"/>
              <w:marBottom w:val="0"/>
              <w:divBdr>
                <w:top w:val="none" w:sz="0" w:space="0" w:color="auto"/>
                <w:left w:val="none" w:sz="0" w:space="0" w:color="auto"/>
                <w:bottom w:val="none" w:sz="0" w:space="0" w:color="auto"/>
                <w:right w:val="none" w:sz="0" w:space="0" w:color="auto"/>
              </w:divBdr>
              <w:divsChild>
                <w:div w:id="61177827">
                  <w:marLeft w:val="0"/>
                  <w:marRight w:val="0"/>
                  <w:marTop w:val="0"/>
                  <w:marBottom w:val="0"/>
                  <w:divBdr>
                    <w:top w:val="none" w:sz="0" w:space="0" w:color="auto"/>
                    <w:left w:val="none" w:sz="0" w:space="0" w:color="auto"/>
                    <w:bottom w:val="none" w:sz="0" w:space="0" w:color="auto"/>
                    <w:right w:val="none" w:sz="0" w:space="0" w:color="auto"/>
                  </w:divBdr>
                  <w:divsChild>
                    <w:div w:id="9357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c01\daten\CleanControlling\Marketing\Marketing%20TecSa\PR-Texte\c.wolfsperger@cleancontrolli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leancontrolling.com/fileadmin/_processed_/1/6/csm_Grafik_Vergleich_aus_ZVEI-Studie_771257d0f0.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leancontrolling.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lfsperger\Documents\Benutzerdefinierte%20Office-Vorlagen\CC-Vorlage%20A4_ho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CC-Vorlage A4_hoch.dotx</Template>
  <TotalTime>0</TotalTime>
  <Pages>3</Pages>
  <Words>743</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Wolfsperger</dc:creator>
  <cp:keywords/>
  <cp:lastModifiedBy>Christoph Wolfsperger</cp:lastModifiedBy>
  <cp:revision>4</cp:revision>
  <cp:lastPrinted>2020-06-10T09:52:00Z</cp:lastPrinted>
  <dcterms:created xsi:type="dcterms:W3CDTF">2022-08-16T06:48:00Z</dcterms:created>
  <dcterms:modified xsi:type="dcterms:W3CDTF">2022-10-05T13:59:00Z</dcterms:modified>
</cp:coreProperties>
</file>